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C6" w:rsidRPr="00B96038" w:rsidRDefault="007519C6" w:rsidP="007519C6">
      <w:pPr>
        <w:rPr>
          <w:rFonts w:cs="Times New Roman"/>
          <w:i/>
          <w:color w:val="000000"/>
          <w:lang w:val="en-US"/>
        </w:rPr>
      </w:pPr>
      <w:r w:rsidRPr="00B96038">
        <w:rPr>
          <w:rFonts w:cs="Times New Roman"/>
          <w:i/>
          <w:color w:val="000000"/>
          <w:lang w:val="en-US"/>
        </w:rPr>
        <w:t>Indian Journal of Medical Ethics Online First Published September 5, 2017</w:t>
      </w:r>
    </w:p>
    <w:p w:rsidR="007519C6" w:rsidRPr="00B96038" w:rsidRDefault="007519C6" w:rsidP="007519C6">
      <w:pPr>
        <w:rPr>
          <w:rFonts w:cs="Times New Roman"/>
          <w:i/>
          <w:color w:val="000000"/>
          <w:lang w:val="en-US"/>
        </w:rPr>
      </w:pPr>
    </w:p>
    <w:p w:rsidR="007519C6" w:rsidRPr="00B96038" w:rsidRDefault="007519C6" w:rsidP="00882F1C">
      <w:pPr>
        <w:jc w:val="center"/>
        <w:rPr>
          <w:b/>
        </w:rPr>
      </w:pPr>
      <w:r w:rsidRPr="007519C6">
        <w:rPr>
          <w:rFonts w:cs="Lucida Fax"/>
          <w:b/>
          <w:color w:val="000000"/>
        </w:rPr>
        <w:t>COMMENTO</w:t>
      </w:r>
    </w:p>
    <w:p w:rsidR="007519C6" w:rsidRPr="00B96038" w:rsidRDefault="007519C6" w:rsidP="007519C6">
      <w:pPr>
        <w:rPr>
          <w:b/>
        </w:rPr>
      </w:pPr>
    </w:p>
    <w:p w:rsidR="007519C6" w:rsidRPr="007519C6" w:rsidRDefault="007519C6" w:rsidP="007519C6">
      <w:proofErr w:type="spellStart"/>
      <w:r w:rsidRPr="007519C6">
        <w:t>Infanrix</w:t>
      </w:r>
      <w:proofErr w:type="spellEnd"/>
      <w:r w:rsidRPr="007519C6">
        <w:t xml:space="preserve"> </w:t>
      </w:r>
      <w:proofErr w:type="spellStart"/>
      <w:r w:rsidRPr="007519C6">
        <w:t>hexa</w:t>
      </w:r>
      <w:proofErr w:type="spellEnd"/>
      <w:r w:rsidRPr="007519C6">
        <w:t xml:space="preserve"> e morte improvvisa: una revisione dell'aggiornamento dei rapporti periodici della sicurezza</w:t>
      </w:r>
    </w:p>
    <w:p w:rsidR="007519C6" w:rsidRPr="007519C6" w:rsidRDefault="007519C6" w:rsidP="007519C6">
      <w:r>
        <w:t>presentati all'Agenzia Europea per i M</w:t>
      </w:r>
      <w:r w:rsidRPr="007519C6">
        <w:t>edicinali</w:t>
      </w:r>
    </w:p>
    <w:p w:rsidR="007519C6" w:rsidRPr="007519C6" w:rsidRDefault="007519C6" w:rsidP="007519C6"/>
    <w:p w:rsidR="007519C6" w:rsidRPr="007519C6" w:rsidRDefault="007519C6" w:rsidP="007519C6">
      <w:r w:rsidRPr="007519C6">
        <w:t>JACOB PULIYEL, C SATHYAMALA</w:t>
      </w:r>
    </w:p>
    <w:p w:rsidR="007519C6" w:rsidRDefault="007519C6" w:rsidP="00CD0B47">
      <w:pPr>
        <w:rPr>
          <w:b/>
        </w:rPr>
      </w:pPr>
    </w:p>
    <w:p w:rsidR="007519C6" w:rsidRDefault="00882F1C" w:rsidP="00882F1C">
      <w:pPr>
        <w:ind w:left="-142"/>
        <w:rPr>
          <w:b/>
        </w:rPr>
      </w:pPr>
      <w:r>
        <w:rPr>
          <w:noProof/>
          <w:lang w:eastAsia="it-IT"/>
        </w:rPr>
        <w:drawing>
          <wp:inline distT="0" distB="0" distL="0" distR="0">
            <wp:extent cx="3635893" cy="1828800"/>
            <wp:effectExtent l="19050" t="0" r="2657"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40653" cy="1831194"/>
                    </a:xfrm>
                    <a:prstGeom prst="rect">
                      <a:avLst/>
                    </a:prstGeom>
                    <a:noFill/>
                    <a:ln w="9525">
                      <a:noFill/>
                      <a:miter lim="800000"/>
                      <a:headEnd/>
                      <a:tailEnd/>
                    </a:ln>
                  </pic:spPr>
                </pic:pic>
              </a:graphicData>
            </a:graphic>
          </wp:inline>
        </w:drawing>
      </w:r>
    </w:p>
    <w:p w:rsidR="00882F1C" w:rsidRDefault="00882F1C" w:rsidP="00882F1C">
      <w:pPr>
        <w:ind w:left="-142"/>
        <w:rPr>
          <w:b/>
        </w:rPr>
      </w:pPr>
    </w:p>
    <w:p w:rsidR="00882F1C" w:rsidRDefault="00882F1C" w:rsidP="00CD0B47">
      <w:pPr>
        <w:rPr>
          <w:b/>
        </w:rPr>
      </w:pPr>
    </w:p>
    <w:p w:rsidR="007519C6" w:rsidRPr="007519C6" w:rsidRDefault="007519C6" w:rsidP="000677AA">
      <w:pPr>
        <w:rPr>
          <w:b/>
        </w:rPr>
      </w:pPr>
      <w:proofErr w:type="spellStart"/>
      <w:r>
        <w:rPr>
          <w:b/>
        </w:rPr>
        <w:t>A</w:t>
      </w:r>
      <w:r w:rsidRPr="007519C6">
        <w:rPr>
          <w:b/>
        </w:rPr>
        <w:t>bstract</w:t>
      </w:r>
      <w:proofErr w:type="spellEnd"/>
    </w:p>
    <w:p w:rsidR="00CD0B47" w:rsidRDefault="00CD0B47" w:rsidP="000677AA">
      <w:r>
        <w:t xml:space="preserve">Ci sono stati diversi rapporti spontanei di morte improvvisa inattesa subito dopo la somministrazione di </w:t>
      </w:r>
      <w:proofErr w:type="spellStart"/>
      <w:r>
        <w:t>Infanrix</w:t>
      </w:r>
      <w:proofErr w:type="spellEnd"/>
      <w:r>
        <w:t xml:space="preserve"> </w:t>
      </w:r>
      <w:proofErr w:type="spellStart"/>
      <w:r>
        <w:t>hexa</w:t>
      </w:r>
      <w:proofErr w:type="spellEnd"/>
      <w:r>
        <w:t xml:space="preserve"> (vaccino combinato di difterite, tetano, pertosse acellulare, poliomielite </w:t>
      </w:r>
      <w:proofErr w:type="spellStart"/>
      <w:r>
        <w:t>inactivata</w:t>
      </w:r>
      <w:proofErr w:type="spellEnd"/>
      <w:r>
        <w:t xml:space="preserve">, epatite B e </w:t>
      </w:r>
      <w:proofErr w:type="spellStart"/>
      <w:r>
        <w:t>Haemophilus</w:t>
      </w:r>
      <w:proofErr w:type="spellEnd"/>
      <w:r>
        <w:t xml:space="preserve"> </w:t>
      </w:r>
      <w:proofErr w:type="spellStart"/>
      <w:r>
        <w:t>influenzae</w:t>
      </w:r>
      <w:proofErr w:type="spellEnd"/>
      <w:r>
        <w:t xml:space="preserve"> tipo B). Il produttore, GlaxoSmithKline (GSK), presenta relazioni confidenziali periodiche di aggiornamento sulla sicurezza (PSUR) su </w:t>
      </w:r>
      <w:proofErr w:type="spellStart"/>
      <w:r>
        <w:t>Infanrix</w:t>
      </w:r>
      <w:proofErr w:type="spellEnd"/>
      <w:r>
        <w:t xml:space="preserve"> </w:t>
      </w:r>
      <w:proofErr w:type="spellStart"/>
      <w:r>
        <w:t>Hexa</w:t>
      </w:r>
      <w:proofErr w:type="spellEnd"/>
      <w:r>
        <w:t xml:space="preserve"> all'Agenzia europea dei medicinali (EMA). L'ultimo è il PSUR</w:t>
      </w:r>
      <w:r w:rsidR="00DF08E6">
        <w:t xml:space="preserve"> </w:t>
      </w:r>
      <w:r w:rsidR="00DF08E6" w:rsidRPr="00DF08E6">
        <w:rPr>
          <w:color w:val="FF0000"/>
        </w:rPr>
        <w:t>*</w:t>
      </w:r>
      <w:r>
        <w:t xml:space="preserve"> 19 [PSUSA</w:t>
      </w:r>
      <w:r w:rsidR="00DF08E6">
        <w:t xml:space="preserve"> </w:t>
      </w:r>
      <w:r w:rsidR="00DF08E6" w:rsidRPr="00DF08E6">
        <w:rPr>
          <w:color w:val="FF0000"/>
        </w:rPr>
        <w:t>*</w:t>
      </w:r>
      <w:r w:rsidR="00DF08E6">
        <w:rPr>
          <w:rStyle w:val="Rimandonotaapidipagina"/>
          <w:color w:val="FF0000"/>
        </w:rPr>
        <w:footnoteReference w:id="1"/>
      </w:r>
      <w:r>
        <w:t>secondo la recente denominazione</w:t>
      </w:r>
      <w:r w:rsidR="00DF08E6">
        <w:t>]</w:t>
      </w:r>
      <w:r>
        <w:t xml:space="preserve">. Ogni PSUR contiene un'analisi di </w:t>
      </w:r>
      <w:r w:rsidR="00385AE0">
        <w:t xml:space="preserve">morti improvvise </w:t>
      </w:r>
      <w:r>
        <w:t>osserva</w:t>
      </w:r>
      <w:r w:rsidR="00385AE0">
        <w:t>te</w:t>
      </w:r>
      <w:r>
        <w:t>/ attes</w:t>
      </w:r>
      <w:r w:rsidR="00385AE0">
        <w:t>e</w:t>
      </w:r>
      <w:r>
        <w:t xml:space="preserve">, che dimostra </w:t>
      </w:r>
      <w:r w:rsidR="00385AE0">
        <w:t xml:space="preserve">che </w:t>
      </w:r>
      <w:r>
        <w:t>il numero di morti osservate</w:t>
      </w:r>
      <w:r w:rsidR="00385AE0">
        <w:t xml:space="preserve"> subito dopo</w:t>
      </w:r>
      <w:r>
        <w:t xml:space="preserve"> l'immunizzazione è inferiore a quell</w:t>
      </w:r>
      <w:r w:rsidR="00385AE0">
        <w:t>e</w:t>
      </w:r>
      <w:r>
        <w:t xml:space="preserve"> previst</w:t>
      </w:r>
      <w:r w:rsidR="00385AE0">
        <w:t>e</w:t>
      </w:r>
      <w:r>
        <w:t xml:space="preserve"> per caso.</w:t>
      </w:r>
    </w:p>
    <w:p w:rsidR="00CD0B47" w:rsidRDefault="00CD0B47" w:rsidP="000677AA">
      <w:r>
        <w:t>Questo commento si concentra su quel</w:t>
      </w:r>
      <w:r w:rsidR="00385AE0">
        <w:t>l’</w:t>
      </w:r>
      <w:r>
        <w:t xml:space="preserve">aspetto del PSUR che </w:t>
      </w:r>
      <w:r w:rsidR="00385AE0">
        <w:t>influisce</w:t>
      </w:r>
      <w:r>
        <w:t xml:space="preserve"> sulle decisioni politiche. Abbiamo analizzato i dati forniti</w:t>
      </w:r>
      <w:r w:rsidR="007519C6">
        <w:t xml:space="preserve"> nei PSUR. E</w:t>
      </w:r>
      <w:r>
        <w:t>'</w:t>
      </w:r>
      <w:r w:rsidR="007519C6">
        <w:t xml:space="preserve"> </w:t>
      </w:r>
      <w:r>
        <w:t>evidente che le morti riconosciute nel</w:t>
      </w:r>
      <w:r w:rsidR="007519C6">
        <w:t xml:space="preserve"> </w:t>
      </w:r>
      <w:r>
        <w:t>PSUR 16 sono stat</w:t>
      </w:r>
      <w:r w:rsidR="007519C6">
        <w:t>e eliminate</w:t>
      </w:r>
      <w:r>
        <w:t xml:space="preserve"> dal PSUR 19. Il numero di </w:t>
      </w:r>
      <w:r w:rsidR="007519C6">
        <w:t xml:space="preserve">morti </w:t>
      </w:r>
      <w:r>
        <w:t>osserva</w:t>
      </w:r>
      <w:r w:rsidR="007519C6">
        <w:t>te subito</w:t>
      </w:r>
      <w:r>
        <w:t xml:space="preserve"> dopo la vaccinazione nei bambini di età superiore a</w:t>
      </w:r>
      <w:r w:rsidR="007519C6">
        <w:t>d</w:t>
      </w:r>
      <w:r>
        <w:t xml:space="preserve"> un anno</w:t>
      </w:r>
      <w:r w:rsidR="007519C6">
        <w:t xml:space="preserve"> </w:t>
      </w:r>
      <w:r>
        <w:t>era significativamente superiore a quello previsto per caso una volta</w:t>
      </w:r>
      <w:r w:rsidR="007519C6">
        <w:t xml:space="preserve"> che </w:t>
      </w:r>
      <w:r>
        <w:t>le morti cancellate sono state ripristinate e incluse nell'analisi.</w:t>
      </w:r>
    </w:p>
    <w:p w:rsidR="00C9779F" w:rsidRDefault="00CD0B47" w:rsidP="000677AA">
      <w:r>
        <w:t>Il produttore deve spiegare le cifre che sono state</w:t>
      </w:r>
      <w:r w:rsidR="007519C6">
        <w:t xml:space="preserve"> </w:t>
      </w:r>
      <w:r>
        <w:t>presentat</w:t>
      </w:r>
      <w:r w:rsidR="007519C6">
        <w:t>e</w:t>
      </w:r>
      <w:r>
        <w:t xml:space="preserve"> alle autorità </w:t>
      </w:r>
      <w:proofErr w:type="spellStart"/>
      <w:r w:rsidR="007519C6">
        <w:t>regolatorie</w:t>
      </w:r>
      <w:proofErr w:type="spellEnd"/>
      <w:r>
        <w:t>. L</w:t>
      </w:r>
      <w:r w:rsidR="007519C6">
        <w:t>e</w:t>
      </w:r>
      <w:r>
        <w:t xml:space="preserve"> procedur</w:t>
      </w:r>
      <w:r w:rsidR="007519C6">
        <w:t xml:space="preserve">e </w:t>
      </w:r>
      <w:r>
        <w:t>intrapres</w:t>
      </w:r>
      <w:r w:rsidR="007519C6">
        <w:t>e</w:t>
      </w:r>
      <w:r>
        <w:t xml:space="preserve"> dall'EMA per valutare </w:t>
      </w:r>
      <w:r w:rsidR="007519C6">
        <w:t xml:space="preserve">le segnalazioni </w:t>
      </w:r>
      <w:r>
        <w:t xml:space="preserve">del fabbricante </w:t>
      </w:r>
      <w:r w:rsidR="007519C6">
        <w:t xml:space="preserve">nel </w:t>
      </w:r>
      <w:r>
        <w:t>PSUR dev</w:t>
      </w:r>
      <w:r w:rsidR="007519C6">
        <w:t>ono</w:t>
      </w:r>
      <w:r>
        <w:t xml:space="preserve"> essere rivedut</w:t>
      </w:r>
      <w:r w:rsidR="007519C6">
        <w:t>e. Il Controllore G</w:t>
      </w:r>
      <w:r>
        <w:t>enerale d</w:t>
      </w:r>
      <w:r w:rsidR="007519C6">
        <w:t xml:space="preserve">ei medicinali </w:t>
      </w:r>
      <w:r>
        <w:t>d</w:t>
      </w:r>
      <w:r w:rsidR="007519C6">
        <w:t>ell’</w:t>
      </w:r>
      <w:r>
        <w:t>India accetta quasi automaticamente i farmaci e</w:t>
      </w:r>
      <w:r w:rsidR="007519C6">
        <w:t xml:space="preserve"> </w:t>
      </w:r>
      <w:r>
        <w:t>i vaccini approvati</w:t>
      </w:r>
      <w:r w:rsidR="007519C6">
        <w:t xml:space="preserve"> </w:t>
      </w:r>
      <w:r>
        <w:t>dall'EMA. C'è bisogno di rivedere la fiducia in merito</w:t>
      </w:r>
      <w:r w:rsidR="007519C6">
        <w:t xml:space="preserve"> alla </w:t>
      </w:r>
      <w:r>
        <w:t>diligenza da parte dell'EMA.</w:t>
      </w:r>
    </w:p>
    <w:p w:rsidR="007519C6" w:rsidRDefault="007519C6" w:rsidP="000677AA"/>
    <w:p w:rsidR="00CB4943" w:rsidRDefault="00CB4943" w:rsidP="000677AA"/>
    <w:p w:rsidR="00CB4943" w:rsidRPr="00CB4943" w:rsidRDefault="00CB4943" w:rsidP="000677AA">
      <w:pPr>
        <w:rPr>
          <w:b/>
        </w:rPr>
      </w:pPr>
      <w:r w:rsidRPr="00CB4943">
        <w:rPr>
          <w:b/>
        </w:rPr>
        <w:t>introduzione</w:t>
      </w:r>
    </w:p>
    <w:p w:rsidR="00CB4943" w:rsidRDefault="00CB4943" w:rsidP="000677AA">
      <w:r>
        <w:t xml:space="preserve">Il 23 ottobre 2000, la commercializzazione di due esavalenti vaccini, </w:t>
      </w:r>
      <w:proofErr w:type="spellStart"/>
      <w:r>
        <w:t>Infanrix</w:t>
      </w:r>
      <w:proofErr w:type="spellEnd"/>
      <w:r>
        <w:t xml:space="preserve"> </w:t>
      </w:r>
      <w:proofErr w:type="spellStart"/>
      <w:r>
        <w:t>hexa</w:t>
      </w:r>
      <w:proofErr w:type="spellEnd"/>
      <w:r>
        <w:t xml:space="preserve">® (GlaxoSmithKline </w:t>
      </w:r>
      <w:proofErr w:type="spellStart"/>
      <w:r>
        <w:t>plc</w:t>
      </w:r>
      <w:proofErr w:type="spellEnd"/>
      <w:r>
        <w:t xml:space="preserve">-GSK) ed </w:t>
      </w:r>
      <w:proofErr w:type="spellStart"/>
      <w:r>
        <w:t>Hexavac</w:t>
      </w:r>
      <w:proofErr w:type="spellEnd"/>
      <w:r>
        <w:t>® (</w:t>
      </w:r>
      <w:proofErr w:type="spellStart"/>
      <w:r>
        <w:t>Sanofi</w:t>
      </w:r>
      <w:proofErr w:type="spellEnd"/>
      <w:r>
        <w:t xml:space="preserve"> Pasteur MSD, SNC), che combinano la difterite, il tetano, la pertosse acellulare, l'epatite B, la poliomielite inattivata e l'influenza </w:t>
      </w:r>
      <w:proofErr w:type="spellStart"/>
      <w:r>
        <w:t>Haemophilus</w:t>
      </w:r>
      <w:proofErr w:type="spellEnd"/>
      <w:r>
        <w:t xml:space="preserve"> tipo B è stata autorizzata nell'Unione europea. Dopo l'autorizzazione, ci sono stati diversi rapporti spontanei di morte improvvisa inaspettata subito dopo la somministrazione di questi vaccini esavalenti. Nel 2005 von </w:t>
      </w:r>
      <w:proofErr w:type="spellStart"/>
      <w:r>
        <w:t>Kries</w:t>
      </w:r>
      <w:proofErr w:type="spellEnd"/>
      <w:r>
        <w:t xml:space="preserve"> e colleghi (1)</w:t>
      </w:r>
      <w:r w:rsidRPr="00CB4943">
        <w:t xml:space="preserve"> </w:t>
      </w:r>
      <w:r>
        <w:t xml:space="preserve">hanno eseguito un'analisi dettagliata in cui hanno confrontato le morti osservate subito dopo la vaccinazione con le morti attese casuali. Hanno trovato che il rapporto di mortalità standardizzato (SMR) entro due giorni </w:t>
      </w:r>
      <w:r>
        <w:lastRenderedPageBreak/>
        <w:t xml:space="preserve">dalla vaccinazione di </w:t>
      </w:r>
      <w:proofErr w:type="spellStart"/>
      <w:r>
        <w:t>Hexavac</w:t>
      </w:r>
      <w:proofErr w:type="spellEnd"/>
      <w:r>
        <w:t xml:space="preserve"> era significativamente aumentato nei bambini vaccinati nel secondo anno di vita.</w:t>
      </w:r>
    </w:p>
    <w:p w:rsidR="00CB4943" w:rsidRDefault="00CB4943" w:rsidP="000677AA">
      <w:r>
        <w:t>Ques</w:t>
      </w:r>
      <w:r w:rsidR="00F81C23">
        <w:t xml:space="preserve">to non era il caso di </w:t>
      </w:r>
      <w:proofErr w:type="spellStart"/>
      <w:r w:rsidR="00F81C23">
        <w:t>Infanrix</w:t>
      </w:r>
      <w:proofErr w:type="spellEnd"/>
      <w:r w:rsidR="00F81C23">
        <w:t xml:space="preserve"> </w:t>
      </w:r>
      <w:proofErr w:type="spellStart"/>
      <w:r w:rsidR="00F81C23">
        <w:t>H</w:t>
      </w:r>
      <w:r>
        <w:t>exa</w:t>
      </w:r>
      <w:proofErr w:type="spellEnd"/>
      <w:r>
        <w:t>. Su richiesta del titolare dell'autorizzazione all'immissione in commercio, l’</w:t>
      </w:r>
      <w:proofErr w:type="spellStart"/>
      <w:r>
        <w:t>Hexavac</w:t>
      </w:r>
      <w:proofErr w:type="spellEnd"/>
      <w:r>
        <w:t xml:space="preserve"> è stato ritirato nel 2005 e l’</w:t>
      </w:r>
      <w:proofErr w:type="spellStart"/>
      <w:r w:rsidR="00F81C23">
        <w:t>Infanrix</w:t>
      </w:r>
      <w:proofErr w:type="spellEnd"/>
      <w:r w:rsidR="00F81C23">
        <w:t xml:space="preserve"> </w:t>
      </w:r>
      <w:proofErr w:type="spellStart"/>
      <w:r w:rsidR="00F81C23">
        <w:t>H</w:t>
      </w:r>
      <w:r>
        <w:t>exa</w:t>
      </w:r>
      <w:proofErr w:type="spellEnd"/>
      <w:r>
        <w:t xml:space="preserve"> ha continuato ad essere commercializzato in Europa (2). Secondo la legge europea, l'Agenzia europea dei medicinali (EMA) è responsabile per la protezione della salute pubblica attraverso la valutazione dei medicinali da essa approvati come autorità di regolamentazione. I produttori sono responsabili dell’efficacia, qualità e sicurezza dei loro farmaci (3).</w:t>
      </w:r>
    </w:p>
    <w:p w:rsidR="00CB4943" w:rsidRDefault="00CB4943" w:rsidP="000677AA">
      <w:r>
        <w:t xml:space="preserve">La corte italiana del giudice Nicola Di Leo ha reso disponibili al pubblico i rapporti </w:t>
      </w:r>
      <w:r w:rsidR="00F81C23">
        <w:t xml:space="preserve">confidenziali periodici </w:t>
      </w:r>
      <w:r>
        <w:t xml:space="preserve">di aggiornamento sulla sicurezza (PSUR) </w:t>
      </w:r>
      <w:r w:rsidR="00F81C23">
        <w:t xml:space="preserve">15 e 16a dal 2009 al 2011 della </w:t>
      </w:r>
      <w:r>
        <w:t>GlaxoSmithKline</w:t>
      </w:r>
      <w:r w:rsidR="00F81C23">
        <w:t xml:space="preserve"> </w:t>
      </w:r>
      <w:r>
        <w:t>(4). Il PSUR 19 (che incorpora i PSUR 17, 18</w:t>
      </w:r>
      <w:r w:rsidR="00F81C23">
        <w:t xml:space="preserve"> </w:t>
      </w:r>
      <w:r>
        <w:t>e 19, datato 15 gennaio 2015) è stato ottenuto dal</w:t>
      </w:r>
      <w:r w:rsidR="000677AA">
        <w:t>la</w:t>
      </w:r>
      <w:r>
        <w:t xml:space="preserve"> dotto</w:t>
      </w:r>
      <w:r w:rsidR="000677AA">
        <w:t>ressa</w:t>
      </w:r>
      <w:r>
        <w:t xml:space="preserve"> Loretta</w:t>
      </w:r>
      <w:r w:rsidR="00F81C23">
        <w:t xml:space="preserve"> </w:t>
      </w:r>
      <w:proofErr w:type="spellStart"/>
      <w:r>
        <w:t>Bolgan</w:t>
      </w:r>
      <w:proofErr w:type="spellEnd"/>
      <w:r>
        <w:t xml:space="preserve"> dall'EMA ai sensi dell'articolo 3 delle regole EMA (EMA</w:t>
      </w:r>
      <w:r w:rsidR="00F81C23">
        <w:t xml:space="preserve"> </w:t>
      </w:r>
      <w:r>
        <w:t xml:space="preserve">110196/2006 del 30 novembre 2010) (5). </w:t>
      </w:r>
      <w:r w:rsidR="00F81C23">
        <w:t>La</w:t>
      </w:r>
      <w:r>
        <w:t xml:space="preserve"> dottor</w:t>
      </w:r>
      <w:r w:rsidR="00F81C23">
        <w:t>essa</w:t>
      </w:r>
      <w:r>
        <w:t xml:space="preserve"> </w:t>
      </w:r>
      <w:proofErr w:type="spellStart"/>
      <w:r>
        <w:t>Bolgan</w:t>
      </w:r>
      <w:proofErr w:type="spellEnd"/>
      <w:r>
        <w:t xml:space="preserve"> ha inviato questo</w:t>
      </w:r>
      <w:r w:rsidR="00F81C23">
        <w:t xml:space="preserve"> </w:t>
      </w:r>
      <w:r>
        <w:t>PSUR al primo autore (JP), chiedendogli di scrivere un rapporto</w:t>
      </w:r>
      <w:r w:rsidR="00F81C23">
        <w:t xml:space="preserve"> </w:t>
      </w:r>
      <w:r>
        <w:t>da presentare al Parlamento europeo. Questo commento</w:t>
      </w:r>
      <w:r w:rsidR="00F81C23">
        <w:t xml:space="preserve"> </w:t>
      </w:r>
      <w:r>
        <w:t xml:space="preserve">è basato su tutti questi </w:t>
      </w:r>
      <w:proofErr w:type="spellStart"/>
      <w:r>
        <w:t>PSU</w:t>
      </w:r>
      <w:r w:rsidR="00F81C23">
        <w:t>Rs</w:t>
      </w:r>
      <w:proofErr w:type="spellEnd"/>
      <w:r w:rsidR="00F81C23">
        <w:t>. Nel contesto dell'aspetto della</w:t>
      </w:r>
      <w:r>
        <w:t xml:space="preserve"> sicurezza</w:t>
      </w:r>
      <w:r w:rsidR="00F81C23">
        <w:t xml:space="preserve"> </w:t>
      </w:r>
      <w:r>
        <w:t xml:space="preserve">precedentemente evidenziato da von </w:t>
      </w:r>
      <w:proofErr w:type="spellStart"/>
      <w:r>
        <w:t>Kries</w:t>
      </w:r>
      <w:proofErr w:type="spellEnd"/>
      <w:r>
        <w:t xml:space="preserve"> (1), questo commento</w:t>
      </w:r>
      <w:r w:rsidR="00F81C23">
        <w:t xml:space="preserve"> </w:t>
      </w:r>
      <w:r>
        <w:t xml:space="preserve">esamina la </w:t>
      </w:r>
      <w:r w:rsidR="00F81C23">
        <w:t xml:space="preserve">morte improvvisa dopo l'uso del vaccino </w:t>
      </w:r>
      <w:proofErr w:type="spellStart"/>
      <w:r>
        <w:t>Infanrix</w:t>
      </w:r>
      <w:proofErr w:type="spellEnd"/>
      <w:r w:rsidR="00F81C23">
        <w:t xml:space="preserve"> </w:t>
      </w:r>
      <w:proofErr w:type="spellStart"/>
      <w:r w:rsidR="00F81C23">
        <w:t>Hexa</w:t>
      </w:r>
      <w:proofErr w:type="spellEnd"/>
      <w:r>
        <w:t>. Altri aspetti trattati nei PSUR non sono</w:t>
      </w:r>
      <w:r w:rsidR="00F81C23">
        <w:t xml:space="preserve"> </w:t>
      </w:r>
      <w:r>
        <w:t>esaminat</w:t>
      </w:r>
      <w:r w:rsidR="00F81C23">
        <w:t>i</w:t>
      </w:r>
      <w:r>
        <w:t>.</w:t>
      </w:r>
    </w:p>
    <w:p w:rsidR="00B96038" w:rsidRDefault="00B96038" w:rsidP="000677AA"/>
    <w:p w:rsidR="00B96038" w:rsidRPr="00B96038" w:rsidRDefault="00B96038" w:rsidP="000677AA">
      <w:pPr>
        <w:rPr>
          <w:b/>
        </w:rPr>
      </w:pPr>
      <w:r w:rsidRPr="00B96038">
        <w:rPr>
          <w:b/>
        </w:rPr>
        <w:t>PSUR 15 - raggruppamento di morti dopo la vaccinazione</w:t>
      </w:r>
    </w:p>
    <w:p w:rsidR="00B96038" w:rsidRDefault="00B96038" w:rsidP="000677AA">
      <w:r>
        <w:t>La maggior parte delle morti che si verificano nel periodo post-neonatale sono dovute alle infezioni, ai difetti congeniti, malignità o incidenti. Raramente i bambini muoiono senza una causa evidente e così le morti sono classificate come (i) sindrome della morte improvvisa (SIDS), definito nel PSUR come morte che si verifica nel primo anno di vita e rimane inspiegabile dopo l'autopsia, o (ii) morte improvvisa inaspettata (SUD), definita come la morte che si verifica entro i primi due anni di vita, e che rimane inspiegabile dopo storia clinica e finale degli eventi, ma senza autopsia. Insieme, questi due sono considerati come morte improvvisa (SD) nel PSUR 15. Un determinato numero di vaccini viene somministrato in un dato giorno a bambini sotto i 2 anni e il numero dei bambini vaccinati in tutto il mondo è molto grande. È possibile che casualmente alcuni bambini vaccinati possano morire di SIDS / SUD incidentalmente, tali eventi si sarebbero verificati anche se questi bambini non fossero stati vaccinati in quel giorno. Per accertare se una tale morte è stata causata dalla vaccinazione o era un evento incidentale, viene eseguita un'analisi di SD osservata / attesa. L'analisi valuta se il numero di decessi osservato dopo la vaccinazione supera quello che si può prevedere per caso.</w:t>
      </w:r>
    </w:p>
    <w:p w:rsidR="00B96038" w:rsidRDefault="00B96038" w:rsidP="000677AA"/>
    <w:p w:rsidR="00B96038" w:rsidRPr="00AE5129" w:rsidRDefault="00B96038" w:rsidP="000677AA">
      <w:pPr>
        <w:rPr>
          <w:b/>
        </w:rPr>
      </w:pPr>
      <w:r w:rsidRPr="00AE5129">
        <w:rPr>
          <w:b/>
        </w:rPr>
        <w:t>Morti improvvise: osservat</w:t>
      </w:r>
      <w:r w:rsidR="00AE5129" w:rsidRPr="00AE5129">
        <w:rPr>
          <w:b/>
        </w:rPr>
        <w:t>e verso</w:t>
      </w:r>
      <w:r w:rsidRPr="00AE5129">
        <w:rPr>
          <w:b/>
        </w:rPr>
        <w:t xml:space="preserve"> a</w:t>
      </w:r>
      <w:r w:rsidR="00AE5129" w:rsidRPr="00AE5129">
        <w:rPr>
          <w:b/>
        </w:rPr>
        <w:t>ttese</w:t>
      </w:r>
    </w:p>
    <w:p w:rsidR="00B96038" w:rsidRDefault="00B96038" w:rsidP="000677AA">
      <w:r>
        <w:t xml:space="preserve">Il PSUR 15 spiega come questa analisi </w:t>
      </w:r>
      <w:r w:rsidR="00AE5129">
        <w:t>è stata</w:t>
      </w:r>
      <w:r>
        <w:t xml:space="preserve"> eseguita (4: p 782):</w:t>
      </w:r>
      <w:r w:rsidR="00AE5129">
        <w:t xml:space="preserve"> </w:t>
      </w:r>
      <w:r>
        <w:t xml:space="preserve">"La Società ha valutato se il numero di </w:t>
      </w:r>
      <w:r w:rsidR="00AE5129">
        <w:t xml:space="preserve">morti </w:t>
      </w:r>
      <w:r>
        <w:t>improvvis</w:t>
      </w:r>
      <w:r w:rsidR="00AE5129">
        <w:t>e</w:t>
      </w:r>
      <w:r>
        <w:t xml:space="preserve"> riportate in questa fascia di età </w:t>
      </w:r>
      <w:r w:rsidR="00AE5129">
        <w:t xml:space="preserve">che </w:t>
      </w:r>
      <w:r>
        <w:t>hanno superato il numero uno</w:t>
      </w:r>
      <w:r w:rsidR="00AE5129">
        <w:t xml:space="preserve"> </w:t>
      </w:r>
      <w:r>
        <w:t>po</w:t>
      </w:r>
      <w:r w:rsidR="00AE5129">
        <w:t>tevano</w:t>
      </w:r>
      <w:r>
        <w:t xml:space="preserve"> verificarsi </w:t>
      </w:r>
      <w:r w:rsidR="00AE5129">
        <w:t>casualmente</w:t>
      </w:r>
      <w:r>
        <w:t xml:space="preserve">. </w:t>
      </w:r>
      <w:r w:rsidR="00AE5129">
        <w:t>Poiché la</w:t>
      </w:r>
      <w:r>
        <w:t xml:space="preserve"> distribuzione</w:t>
      </w:r>
      <w:r w:rsidR="00AE5129">
        <w:t xml:space="preserve"> </w:t>
      </w:r>
      <w:r>
        <w:t xml:space="preserve">dell'età in cui i soggetti </w:t>
      </w:r>
      <w:r w:rsidR="00AE5129">
        <w:t>sono stati vaccinati è sconosciuta, l</w:t>
      </w:r>
      <w:r>
        <w:t>a società ha assunto che la proporzione di eventi avversi</w:t>
      </w:r>
      <w:r w:rsidR="00AE5129">
        <w:t xml:space="preserve"> </w:t>
      </w:r>
      <w:r>
        <w:t>per età è rappresentativ</w:t>
      </w:r>
      <w:r w:rsidR="00AE5129">
        <w:t xml:space="preserve">a dell’effettiva </w:t>
      </w:r>
      <w:r>
        <w:t>distribuzione dell'età</w:t>
      </w:r>
      <w:r w:rsidR="00AE5129">
        <w:t xml:space="preserve"> </w:t>
      </w:r>
      <w:r>
        <w:t>alla vaccinazione. Si può quindi stimare che il 90,6% di tutti</w:t>
      </w:r>
      <w:r w:rsidR="00AE5129">
        <w:t xml:space="preserve"> i destinatari di </w:t>
      </w:r>
      <w:proofErr w:type="spellStart"/>
      <w:r w:rsidR="00AE5129">
        <w:t>Infanrix</w:t>
      </w:r>
      <w:proofErr w:type="spellEnd"/>
      <w:r w:rsidR="00AE5129">
        <w:t xml:space="preserve"> </w:t>
      </w:r>
      <w:proofErr w:type="spellStart"/>
      <w:r w:rsidR="00AE5129">
        <w:t>H</w:t>
      </w:r>
      <w:r>
        <w:t>exa</w:t>
      </w:r>
      <w:proofErr w:type="spellEnd"/>
      <w:r w:rsidR="00AE5129">
        <w:t xml:space="preserve"> </w:t>
      </w:r>
      <w:r>
        <w:t> erano nel loro primo anno di vita, e</w:t>
      </w:r>
      <w:r w:rsidR="00AE5129">
        <w:t xml:space="preserve"> i</w:t>
      </w:r>
      <w:r>
        <w:t>l 9,4% era nel secondo anno di vita. Quindi il numero</w:t>
      </w:r>
      <w:r w:rsidR="00AE5129">
        <w:t xml:space="preserve"> </w:t>
      </w:r>
      <w:r>
        <w:t>delle dosi (dal lancio) è stato stimato pari a 54.927.729 e</w:t>
      </w:r>
      <w:r w:rsidR="00AE5129">
        <w:t xml:space="preserve"> </w:t>
      </w:r>
      <w:r>
        <w:t>5,698,904, rispettivamente. Dato che la Germania è il paese principale</w:t>
      </w:r>
      <w:r w:rsidR="00AE5129">
        <w:t xml:space="preserve"> </w:t>
      </w:r>
      <w:r>
        <w:t xml:space="preserve">dove </w:t>
      </w:r>
      <w:r w:rsidR="00AE5129">
        <w:t>vengono</w:t>
      </w:r>
      <w:r>
        <w:t xml:space="preserve"> distribuite</w:t>
      </w:r>
      <w:r w:rsidR="00AE5129">
        <w:t xml:space="preserve"> le dosi </w:t>
      </w:r>
      <w:proofErr w:type="spellStart"/>
      <w:r w:rsidR="00AE5129">
        <w:t>Infanrix</w:t>
      </w:r>
      <w:proofErr w:type="spellEnd"/>
      <w:r w:rsidR="00AE5129">
        <w:t xml:space="preserve"> </w:t>
      </w:r>
      <w:proofErr w:type="spellStart"/>
      <w:r w:rsidR="00AE5129">
        <w:t>H</w:t>
      </w:r>
      <w:r>
        <w:t>exa</w:t>
      </w:r>
      <w:proofErr w:type="spellEnd"/>
      <w:r>
        <w:t xml:space="preserve"> (quasi il 30% solo in</w:t>
      </w:r>
      <w:r w:rsidR="00AE5129">
        <w:t xml:space="preserve"> </w:t>
      </w:r>
      <w:r>
        <w:t xml:space="preserve">Germania), si </w:t>
      </w:r>
      <w:r w:rsidR="00AE5129">
        <w:t xml:space="preserve">è </w:t>
      </w:r>
      <w:r>
        <w:t>suppo</w:t>
      </w:r>
      <w:r w:rsidR="00AE5129">
        <w:t>sto</w:t>
      </w:r>
      <w:r>
        <w:t xml:space="preserve"> che l'incidenza di morte improvvisa</w:t>
      </w:r>
      <w:r w:rsidR="00AE5129">
        <w:t xml:space="preserve"> </w:t>
      </w:r>
      <w:r>
        <w:t xml:space="preserve">osservato in Germania </w:t>
      </w:r>
      <w:r w:rsidR="00AE5129">
        <w:t>fosse</w:t>
      </w:r>
      <w:r>
        <w:t xml:space="preserve"> rappresentativo dell'intera popolazione</w:t>
      </w:r>
      <w:r w:rsidR="00AE5129">
        <w:t xml:space="preserve"> </w:t>
      </w:r>
      <w:r>
        <w:t xml:space="preserve">di </w:t>
      </w:r>
      <w:r w:rsidR="00AE5129">
        <w:t xml:space="preserve">destinatari di </w:t>
      </w:r>
      <w:proofErr w:type="spellStart"/>
      <w:r w:rsidR="00AE5129">
        <w:t>Infanrix</w:t>
      </w:r>
      <w:proofErr w:type="spellEnd"/>
      <w:r w:rsidR="00AE5129">
        <w:t xml:space="preserve"> </w:t>
      </w:r>
      <w:proofErr w:type="spellStart"/>
      <w:r w:rsidR="00AE5129">
        <w:t>H</w:t>
      </w:r>
      <w:r>
        <w:t>exa</w:t>
      </w:r>
      <w:proofErr w:type="spellEnd"/>
      <w:r w:rsidR="00AE5129">
        <w:t xml:space="preserve"> </w:t>
      </w:r>
      <w:r>
        <w:t>(Ufficio federale tedesco del</w:t>
      </w:r>
      <w:r w:rsidR="009B4797">
        <w:t xml:space="preserve">la </w:t>
      </w:r>
      <w:r>
        <w:t xml:space="preserve">Statistica, </w:t>
      </w:r>
      <w:proofErr w:type="spellStart"/>
      <w:r>
        <w:t>Statistisches</w:t>
      </w:r>
      <w:proofErr w:type="spellEnd"/>
      <w:r>
        <w:t xml:space="preserve"> </w:t>
      </w:r>
      <w:proofErr w:type="spellStart"/>
      <w:r>
        <w:t>Bundesamt</w:t>
      </w:r>
      <w:proofErr w:type="spellEnd"/>
      <w:r>
        <w:t>; tasso di incidenza nel primo anno di</w:t>
      </w:r>
    </w:p>
    <w:p w:rsidR="009B4797" w:rsidRDefault="00B96038" w:rsidP="000677AA">
      <w:r>
        <w:t>vita: 0,454 / 1000 nascite vive; secondo anno: 0.062 / 1000 nascite vive,</w:t>
      </w:r>
      <w:r w:rsidR="009B4797">
        <w:t xml:space="preserve"> </w:t>
      </w:r>
      <w:r>
        <w:t>dati 2008).</w:t>
      </w:r>
    </w:p>
    <w:p w:rsidR="00DD6E17" w:rsidRDefault="00B96038" w:rsidP="000677AA">
      <w:r>
        <w:t>"Il PSUR documenta la morte riportata entro 20 giorni</w:t>
      </w:r>
      <w:r w:rsidR="009B4797">
        <w:t xml:space="preserve"> dalla </w:t>
      </w:r>
      <w:r>
        <w:t xml:space="preserve">vaccinazione. Il numero di morti osservate era inferiore a quello previsto (tabella 1). </w:t>
      </w:r>
    </w:p>
    <w:p w:rsidR="00DD6E17" w:rsidRDefault="00DD6E17" w:rsidP="000677AA"/>
    <w:p w:rsidR="00DD6E17" w:rsidRDefault="00DD6E17" w:rsidP="000677AA"/>
    <w:p w:rsidR="00DD6E17" w:rsidRDefault="00DD6E17" w:rsidP="00B96038">
      <w:pPr>
        <w:ind w:left="-142"/>
      </w:pPr>
      <w:r>
        <w:rPr>
          <w:noProof/>
          <w:lang w:eastAsia="it-IT"/>
        </w:rPr>
        <w:lastRenderedPageBreak/>
        <w:drawing>
          <wp:inline distT="0" distB="0" distL="0" distR="0">
            <wp:extent cx="6223279" cy="3114675"/>
            <wp:effectExtent l="19050" t="0" r="6071"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18762" cy="3112414"/>
                    </a:xfrm>
                    <a:prstGeom prst="rect">
                      <a:avLst/>
                    </a:prstGeom>
                    <a:noFill/>
                    <a:ln w="9525">
                      <a:noFill/>
                      <a:miter lim="800000"/>
                      <a:headEnd/>
                      <a:tailEnd/>
                    </a:ln>
                  </pic:spPr>
                </pic:pic>
              </a:graphicData>
            </a:graphic>
          </wp:inline>
        </w:drawing>
      </w:r>
    </w:p>
    <w:p w:rsidR="00DD6E17" w:rsidRDefault="00DD6E17" w:rsidP="00B96038">
      <w:pPr>
        <w:ind w:left="-142"/>
      </w:pPr>
    </w:p>
    <w:p w:rsidR="00DD6E17" w:rsidRDefault="00DD6E17" w:rsidP="000677AA"/>
    <w:p w:rsidR="00B96038" w:rsidRDefault="00B96038" w:rsidP="000677AA">
      <w:r>
        <w:t xml:space="preserve">Tuttavia, tra i neonati, c'era un </w:t>
      </w:r>
      <w:r w:rsidR="009B4797">
        <w:t xml:space="preserve">raggruppamento </w:t>
      </w:r>
      <w:r>
        <w:t>delle morti immediatamente dopo la vaccinazione, con 42</w:t>
      </w:r>
      <w:r w:rsidR="009B4797">
        <w:t xml:space="preserve"> </w:t>
      </w:r>
      <w:r>
        <w:t>morti che si verifica</w:t>
      </w:r>
      <w:r w:rsidR="006A4DB3">
        <w:t>va</w:t>
      </w:r>
      <w:r>
        <w:t>no nei primi tre giorni dopo la vaccinazione e</w:t>
      </w:r>
      <w:r w:rsidR="009B4797">
        <w:t xml:space="preserve"> </w:t>
      </w:r>
      <w:r>
        <w:t xml:space="preserve">solo 8 nei prossimi 3 giorni. Tra coloro che </w:t>
      </w:r>
      <w:r w:rsidR="009B4797">
        <w:t>avevano</w:t>
      </w:r>
      <w:r>
        <w:t xml:space="preserve"> meno di un anno di età,</w:t>
      </w:r>
      <w:r w:rsidR="009B4797">
        <w:t xml:space="preserve"> </w:t>
      </w:r>
      <w:r>
        <w:t>54 morti (93%) si sono verificati nei p</w:t>
      </w:r>
      <w:r w:rsidR="00DD6E17">
        <w:t xml:space="preserve">rimi dieci giorni e 4 (7%) nei successivi </w:t>
      </w:r>
      <w:r>
        <w:t xml:space="preserve">10 giorni. Se le morti </w:t>
      </w:r>
      <w:r w:rsidR="00DD6E17">
        <w:t>fossero</w:t>
      </w:r>
      <w:r>
        <w:t xml:space="preserve"> state "</w:t>
      </w:r>
      <w:r w:rsidR="00DD6E17" w:rsidRPr="00DD6E17">
        <w:t xml:space="preserve"> </w:t>
      </w:r>
      <w:r w:rsidR="00DD6E17">
        <w:t>morti casuali  di SIDS</w:t>
      </w:r>
      <w:r>
        <w:t>",</w:t>
      </w:r>
      <w:r w:rsidR="00DD6E17">
        <w:t xml:space="preserve"> </w:t>
      </w:r>
      <w:r>
        <w:t>questa disparità nel numero di decessi nei due periodi di tempo</w:t>
      </w:r>
      <w:r w:rsidR="00DD6E17">
        <w:t xml:space="preserve"> </w:t>
      </w:r>
      <w:r>
        <w:t>non sarebbe stato osservato.</w:t>
      </w:r>
    </w:p>
    <w:p w:rsidR="00B96038" w:rsidRDefault="00DD6E17" w:rsidP="000677AA">
      <w:r>
        <w:t>Le morti per S</w:t>
      </w:r>
      <w:r w:rsidR="00B96038">
        <w:t>IDS</w:t>
      </w:r>
      <w:r>
        <w:t xml:space="preserve"> sarebbe state distribuite</w:t>
      </w:r>
      <w:r w:rsidR="00B96038">
        <w:t xml:space="preserve"> uniformemente nel periodo di 20 giorni.</w:t>
      </w:r>
    </w:p>
    <w:p w:rsidR="00B96038" w:rsidRDefault="00B96038" w:rsidP="000677AA">
      <w:r>
        <w:t>Il fatto che il tasso</w:t>
      </w:r>
      <w:r w:rsidR="00DD6E17">
        <w:t xml:space="preserve"> </w:t>
      </w:r>
      <w:r>
        <w:t>d</w:t>
      </w:r>
      <w:r w:rsidR="00DD6E17">
        <w:t>i</w:t>
      </w:r>
      <w:r>
        <w:t xml:space="preserve"> mort</w:t>
      </w:r>
      <w:r w:rsidR="00DD6E17">
        <w:t>i</w:t>
      </w:r>
      <w:r>
        <w:t xml:space="preserve"> diminuisce rapidamente con il passaggio del tempo che segue</w:t>
      </w:r>
      <w:r w:rsidR="00DD6E17">
        <w:t xml:space="preserve"> </w:t>
      </w:r>
      <w:r>
        <w:t>l'immunizzazione</w:t>
      </w:r>
      <w:r w:rsidR="00DD6E17">
        <w:t>,</w:t>
      </w:r>
      <w:r>
        <w:t xml:space="preserve"> suggerisce che </w:t>
      </w:r>
      <w:r w:rsidR="00DD6E17">
        <w:t xml:space="preserve">le morti </w:t>
      </w:r>
      <w:r>
        <w:t xml:space="preserve">potrebbero essere correlate </w:t>
      </w:r>
      <w:r w:rsidR="00DD6E17">
        <w:t xml:space="preserve">alla </w:t>
      </w:r>
      <w:r>
        <w:t>vaccinazione.</w:t>
      </w:r>
    </w:p>
    <w:p w:rsidR="00F81C23" w:rsidRDefault="00B96038" w:rsidP="000677AA">
      <w:r>
        <w:t>Allo stesso modo, tra i bambini di età superiore a un anno, 5 morti (83,3%)</w:t>
      </w:r>
      <w:r w:rsidR="00DD6E17">
        <w:t xml:space="preserve"> </w:t>
      </w:r>
      <w:r>
        <w:t>si sono verificati nei primi 10 giorni e si è verificata una morte (17%)</w:t>
      </w:r>
      <w:r w:rsidR="00DD6E17">
        <w:t xml:space="preserve"> ne</w:t>
      </w:r>
      <w:r>
        <w:t xml:space="preserve">i </w:t>
      </w:r>
      <w:r w:rsidR="00DD6E17">
        <w:t>successivi</w:t>
      </w:r>
      <w:r>
        <w:t xml:space="preserve"> 10 giorni. Il </w:t>
      </w:r>
      <w:r w:rsidR="00DD6E17">
        <w:t xml:space="preserve">raggruppamento </w:t>
      </w:r>
      <w:r>
        <w:t>dei decessi riportati nell</w:t>
      </w:r>
      <w:r w:rsidR="00DD6E17">
        <w:t xml:space="preserve">o </w:t>
      </w:r>
      <w:r>
        <w:t>PSUR 15 è stato notato anche nel PSUR 16, e questo è stato</w:t>
      </w:r>
      <w:r w:rsidR="00DD6E17">
        <w:t xml:space="preserve"> </w:t>
      </w:r>
      <w:r>
        <w:t>commentato in precedenza (6).</w:t>
      </w:r>
    </w:p>
    <w:p w:rsidR="00DD6E17" w:rsidRDefault="00DD6E17" w:rsidP="000677AA"/>
    <w:p w:rsidR="00DD6E17" w:rsidRPr="00DD6E17" w:rsidRDefault="00DD6E17" w:rsidP="000677AA">
      <w:pPr>
        <w:rPr>
          <w:b/>
        </w:rPr>
      </w:pPr>
      <w:r w:rsidRPr="00DD6E17">
        <w:rPr>
          <w:b/>
        </w:rPr>
        <w:t>La risposta di GlaxoSmithKline</w:t>
      </w:r>
    </w:p>
    <w:p w:rsidR="00DD6E17" w:rsidRDefault="00DD6E17" w:rsidP="000677AA">
      <w:r>
        <w:t xml:space="preserve">In risposta a questa critica (7), l'amministratore delegato (CEO) di GlaxoSmithKline (GSK), Sir Andrew Witty, attraverso il dottor Norman </w:t>
      </w:r>
      <w:proofErr w:type="spellStart"/>
      <w:r>
        <w:t>Begg</w:t>
      </w:r>
      <w:proofErr w:type="spellEnd"/>
      <w:r>
        <w:t xml:space="preserve">, </w:t>
      </w:r>
      <w:proofErr w:type="spellStart"/>
      <w:r>
        <w:t>Chief</w:t>
      </w:r>
      <w:proofErr w:type="spellEnd"/>
      <w:r>
        <w:t xml:space="preserve"> </w:t>
      </w:r>
      <w:proofErr w:type="spellStart"/>
      <w:r>
        <w:t>Medical</w:t>
      </w:r>
      <w:proofErr w:type="spellEnd"/>
      <w:r>
        <w:t xml:space="preserve"> </w:t>
      </w:r>
      <w:proofErr w:type="spellStart"/>
      <w:r>
        <w:t>Officer</w:t>
      </w:r>
      <w:proofErr w:type="spellEnd"/>
      <w:r>
        <w:t xml:space="preserve"> della società, ,</w:t>
      </w:r>
      <w:r w:rsidRPr="00DD6E17">
        <w:t xml:space="preserve"> </w:t>
      </w:r>
      <w:r>
        <w:t xml:space="preserve">ha suggerito in una lettera che </w:t>
      </w:r>
      <w:r w:rsidR="00197DCF">
        <w:t>c’è</w:t>
      </w:r>
      <w:r>
        <w:t xml:space="preserve"> molta più probabilità di pensare ad una potenziale associazione causale e quindi  </w:t>
      </w:r>
      <w:r w:rsidR="00197DCF">
        <w:t xml:space="preserve">di </w:t>
      </w:r>
      <w:r>
        <w:t xml:space="preserve">segnalare un evento </w:t>
      </w:r>
      <w:r w:rsidR="00197DCF">
        <w:t xml:space="preserve">avverso </w:t>
      </w:r>
      <w:r>
        <w:t>a GSK se si verifica poco dopo la vaccinazione piuttosto che se si verifica</w:t>
      </w:r>
      <w:r w:rsidR="00197DCF">
        <w:t xml:space="preserve"> </w:t>
      </w:r>
      <w:r>
        <w:t>settimane dopo. Ha inoltre scritto: "Alla luce di quanto sopra, rimaniamo</w:t>
      </w:r>
      <w:r w:rsidR="00197DCF">
        <w:t xml:space="preserve"> </w:t>
      </w:r>
      <w:r>
        <w:t>fiduciosi nelle conclusioni precedentemente raggiunte da GSK e</w:t>
      </w:r>
      <w:r w:rsidR="00197DCF">
        <w:t xml:space="preserve"> </w:t>
      </w:r>
      <w:r>
        <w:t>condivis</w:t>
      </w:r>
      <w:r w:rsidR="00197DCF">
        <w:t>e</w:t>
      </w:r>
      <w:r>
        <w:t xml:space="preserve"> con le agenzie </w:t>
      </w:r>
      <w:proofErr w:type="spellStart"/>
      <w:r w:rsidR="00197DCF">
        <w:t>regolatorie</w:t>
      </w:r>
      <w:proofErr w:type="spellEnd"/>
      <w:r>
        <w:t xml:space="preserve"> e le autorità sanitarie</w:t>
      </w:r>
      <w:r w:rsidR="00197DCF">
        <w:t xml:space="preserve"> </w:t>
      </w:r>
      <w:r>
        <w:t>in tutto il mondo</w:t>
      </w:r>
      <w:r w:rsidR="00197DCF">
        <w:t>,</w:t>
      </w:r>
      <w:r>
        <w:t xml:space="preserve"> che i dati attualmente disponibili non suggeriscono un</w:t>
      </w:r>
      <w:r w:rsidR="00197DCF">
        <w:t xml:space="preserve"> </w:t>
      </w:r>
      <w:r>
        <w:t>aumentato il rischio di morte improvvisa infantile dopo la vaccinazione</w:t>
      </w:r>
      <w:r w:rsidR="00197DCF">
        <w:t xml:space="preserve"> </w:t>
      </w:r>
      <w:r>
        <w:t xml:space="preserve">con </w:t>
      </w:r>
      <w:proofErr w:type="spellStart"/>
      <w:r>
        <w:t>Infanrix</w:t>
      </w:r>
      <w:proofErr w:type="spellEnd"/>
      <w:r>
        <w:t xml:space="preserve"> </w:t>
      </w:r>
      <w:proofErr w:type="spellStart"/>
      <w:r>
        <w:t>hexa</w:t>
      </w:r>
      <w:proofErr w:type="spellEnd"/>
      <w:r>
        <w:t>. Se i dati e le informazioni disponibili</w:t>
      </w:r>
      <w:r w:rsidR="00197DCF">
        <w:t xml:space="preserve"> </w:t>
      </w:r>
      <w:r>
        <w:t>cambia</w:t>
      </w:r>
      <w:r w:rsidR="00197DCF">
        <w:t>ssero</w:t>
      </w:r>
      <w:r>
        <w:t xml:space="preserve"> </w:t>
      </w:r>
      <w:r w:rsidR="00197DCF">
        <w:t>e</w:t>
      </w:r>
      <w:r>
        <w:t xml:space="preserve"> suggeri</w:t>
      </w:r>
      <w:r w:rsidR="00197DCF">
        <w:t>ssero</w:t>
      </w:r>
      <w:r>
        <w:t xml:space="preserve"> che ci sia un </w:t>
      </w:r>
      <w:r w:rsidR="00197DCF">
        <w:t xml:space="preserve">aumento del  </w:t>
      </w:r>
      <w:r>
        <w:t>rischio, rimaniamo impegnati a notificare prontamente le autorità e a</w:t>
      </w:r>
      <w:r w:rsidR="00197DCF">
        <w:t xml:space="preserve"> </w:t>
      </w:r>
      <w:r>
        <w:t>prendere le azioni necessarie per comunicare tali dati e</w:t>
      </w:r>
      <w:r w:rsidR="00197DCF">
        <w:t xml:space="preserve"> </w:t>
      </w:r>
      <w:r>
        <w:t>informa</w:t>
      </w:r>
      <w:r w:rsidR="00197DCF">
        <w:t>zioni a</w:t>
      </w:r>
      <w:r>
        <w:t>gli operatori sanitari ".</w:t>
      </w:r>
    </w:p>
    <w:p w:rsidR="00DD6E17" w:rsidRDefault="00DD6E17" w:rsidP="000677AA">
      <w:r>
        <w:t>Questa risposta contiene un</w:t>
      </w:r>
      <w:r w:rsidR="00197DCF">
        <w:t>a</w:t>
      </w:r>
      <w:r>
        <w:t xml:space="preserve"> tacito ammissione che non c'era</w:t>
      </w:r>
      <w:r w:rsidR="00197DCF">
        <w:t xml:space="preserve"> </w:t>
      </w:r>
      <w:r>
        <w:t>la vigilanza attiva durante il periodo post-vaccinazione e solo</w:t>
      </w:r>
      <w:r w:rsidR="00197DCF">
        <w:t xml:space="preserve"> </w:t>
      </w:r>
      <w:r>
        <w:t xml:space="preserve">le morti </w:t>
      </w:r>
      <w:r w:rsidR="00197DCF">
        <w:t xml:space="preserve">segnalate </w:t>
      </w:r>
      <w:r>
        <w:t>spontaneamente a GSK sono state incluse sotto</w:t>
      </w:r>
      <w:r w:rsidR="00197DCF">
        <w:t xml:space="preserve"> </w:t>
      </w:r>
      <w:r>
        <w:t>la voce "morti osservate". Ciò potrebbe causare</w:t>
      </w:r>
      <w:r w:rsidR="00197DCF">
        <w:t xml:space="preserve"> </w:t>
      </w:r>
      <w:r>
        <w:t>una sottovalutazione delle morti dopo la vaccinazione. È</w:t>
      </w:r>
      <w:r w:rsidR="00197DCF">
        <w:t xml:space="preserve"> </w:t>
      </w:r>
      <w:r>
        <w:t xml:space="preserve">da notare che per "morti </w:t>
      </w:r>
      <w:r w:rsidR="00197DCF">
        <w:t>attese</w:t>
      </w:r>
      <w:r>
        <w:t xml:space="preserve">" </w:t>
      </w:r>
      <w:r w:rsidR="00197DCF">
        <w:t xml:space="preserve">viene utilizzato </w:t>
      </w:r>
      <w:r>
        <w:t>il numero di dosi di</w:t>
      </w:r>
      <w:r w:rsidR="00197DCF">
        <w:t xml:space="preserve"> </w:t>
      </w:r>
      <w:r>
        <w:t xml:space="preserve">vaccino distribuito. </w:t>
      </w:r>
      <w:r w:rsidR="00197DCF">
        <w:t xml:space="preserve">Nel report è riconosciuto che </w:t>
      </w:r>
      <w:r>
        <w:t>tutte le dosi del vaccino distr</w:t>
      </w:r>
      <w:r w:rsidR="00197DCF">
        <w:t xml:space="preserve">ibuito non sono state necessariamente </w:t>
      </w:r>
      <w:r>
        <w:t>utilizzat</w:t>
      </w:r>
      <w:r w:rsidR="00197DCF">
        <w:t>e</w:t>
      </w:r>
      <w:r>
        <w:t xml:space="preserve">. In questo modo, </w:t>
      </w:r>
      <w:r w:rsidR="00197DCF">
        <w:t xml:space="preserve">le cifre di </w:t>
      </w:r>
      <w:r>
        <w:t xml:space="preserve">"morti </w:t>
      </w:r>
      <w:r w:rsidR="00197DCF">
        <w:t>attese</w:t>
      </w:r>
      <w:r>
        <w:t>"</w:t>
      </w:r>
      <w:r w:rsidR="00197DCF">
        <w:t xml:space="preserve"> sono risultate</w:t>
      </w:r>
      <w:r>
        <w:t xml:space="preserve"> gonfiat</w:t>
      </w:r>
      <w:r w:rsidR="00197DCF">
        <w:t>e</w:t>
      </w:r>
      <w:r>
        <w:t>.</w:t>
      </w:r>
    </w:p>
    <w:p w:rsidR="00DD6E17" w:rsidRDefault="00DD6E17" w:rsidP="000677AA">
      <w:r>
        <w:t>Tuttavia, vista la spiegazione e la garanzia del CEO che</w:t>
      </w:r>
      <w:r w:rsidR="00197DCF">
        <w:t xml:space="preserve"> la </w:t>
      </w:r>
      <w:r>
        <w:t xml:space="preserve">GSK si è impegnata a notificare prontamente </w:t>
      </w:r>
      <w:r w:rsidR="00197DCF">
        <w:t>al</w:t>
      </w:r>
      <w:r>
        <w:t>le autorità e</w:t>
      </w:r>
      <w:r w:rsidR="00197DCF">
        <w:t xml:space="preserve"> </w:t>
      </w:r>
      <w:r>
        <w:t xml:space="preserve">professionisti del settore sanitario di qualsiasi </w:t>
      </w:r>
      <w:r w:rsidR="00197DCF">
        <w:t xml:space="preserve">aumento del </w:t>
      </w:r>
      <w:r>
        <w:t xml:space="preserve">rischio con </w:t>
      </w:r>
      <w:proofErr w:type="spellStart"/>
      <w:r>
        <w:t>Infanrix</w:t>
      </w:r>
      <w:proofErr w:type="spellEnd"/>
      <w:r w:rsidR="00197DCF">
        <w:t xml:space="preserve"> </w:t>
      </w:r>
      <w:proofErr w:type="spellStart"/>
      <w:r w:rsidR="00197DCF">
        <w:t>Hexa</w:t>
      </w:r>
      <w:proofErr w:type="spellEnd"/>
      <w:r>
        <w:t xml:space="preserve">, la questione del </w:t>
      </w:r>
      <w:r w:rsidR="00197DCF">
        <w:t>raggruppamento</w:t>
      </w:r>
      <w:r>
        <w:t xml:space="preserve"> delle morti non è stata </w:t>
      </w:r>
      <w:r w:rsidR="007A4984">
        <w:t xml:space="preserve">indagata </w:t>
      </w:r>
      <w:r>
        <w:t>ulterior</w:t>
      </w:r>
      <w:r w:rsidR="00197DCF">
        <w:t>mente</w:t>
      </w:r>
      <w:r>
        <w:t>.</w:t>
      </w:r>
    </w:p>
    <w:p w:rsidR="007A4984" w:rsidRPr="007A4984" w:rsidRDefault="007A4984" w:rsidP="000677AA">
      <w:pPr>
        <w:rPr>
          <w:b/>
        </w:rPr>
      </w:pPr>
      <w:r w:rsidRPr="007A4984">
        <w:rPr>
          <w:b/>
        </w:rPr>
        <w:lastRenderedPageBreak/>
        <w:t>PSUR 16: raddoppiamento delle morti attese</w:t>
      </w:r>
    </w:p>
    <w:p w:rsidR="00F81C23" w:rsidRDefault="007A4984" w:rsidP="000677AA">
      <w:r w:rsidRPr="007A4984">
        <w:t xml:space="preserve">Se tutti i bambini che hanno ricevuto la prima dose del vaccino </w:t>
      </w:r>
      <w:r>
        <w:t>ricevono in tutto</w:t>
      </w:r>
      <w:r w:rsidRPr="007A4984">
        <w:t xml:space="preserve"> quattro dosi e l'ultima dose è </w:t>
      </w:r>
      <w:r>
        <w:t xml:space="preserve">somministrata </w:t>
      </w:r>
      <w:r w:rsidRPr="007A4984">
        <w:t>nel secondo</w:t>
      </w:r>
      <w:r>
        <w:t xml:space="preserve"> </w:t>
      </w:r>
      <w:r w:rsidRPr="007A4984">
        <w:t>anno di vita, allora si può s</w:t>
      </w:r>
      <w:r>
        <w:t>timare che un quarto (25%) del</w:t>
      </w:r>
      <w:r w:rsidRPr="007A4984">
        <w:t>le dosi vengono somministrate a bambini di età superiore a</w:t>
      </w:r>
      <w:r>
        <w:t>d</w:t>
      </w:r>
      <w:r w:rsidRPr="007A4984">
        <w:t xml:space="preserve"> un</w:t>
      </w:r>
      <w:r>
        <w:t xml:space="preserve"> </w:t>
      </w:r>
      <w:r w:rsidRPr="007A4984">
        <w:t>ann</w:t>
      </w:r>
      <w:r>
        <w:t>o. Questo è il programma vaccinale</w:t>
      </w:r>
      <w:r w:rsidRPr="007A4984">
        <w:t xml:space="preserve"> raccomandato in Germania.</w:t>
      </w:r>
      <w:r>
        <w:t xml:space="preserve"> </w:t>
      </w:r>
      <w:r w:rsidRPr="007A4984">
        <w:t>Tuttavia, alcuni paesi, come l'Italia, consigliano solo tre dosi,</w:t>
      </w:r>
      <w:r>
        <w:t xml:space="preserve"> </w:t>
      </w:r>
      <w:r w:rsidRPr="007A4984">
        <w:t>tutt</w:t>
      </w:r>
      <w:r>
        <w:t>e</w:t>
      </w:r>
      <w:r w:rsidRPr="007A4984">
        <w:t xml:space="preserve"> nel primo anno e nessun</w:t>
      </w:r>
      <w:r>
        <w:t>a</w:t>
      </w:r>
      <w:r w:rsidRPr="007A4984">
        <w:t xml:space="preserve"> nel secondo. Inoltre, non tutti i bambini</w:t>
      </w:r>
      <w:r>
        <w:t xml:space="preserve"> ricevono</w:t>
      </w:r>
      <w:r w:rsidRPr="007A4984">
        <w:t xml:space="preserve"> tutte le dosi raccomandate. Quindi è improbabile che</w:t>
      </w:r>
      <w:r>
        <w:t xml:space="preserve"> il 20% -25% delle dosi venga</w:t>
      </w:r>
      <w:r w:rsidRPr="007A4984">
        <w:t xml:space="preserve"> utilizzato nel secondo anno. Nel PSUR</w:t>
      </w:r>
      <w:r>
        <w:t xml:space="preserve"> </w:t>
      </w:r>
      <w:r w:rsidRPr="007A4984">
        <w:t>15, è stato stimato che il 90,6% delle dosi vendute venisse utilizzato</w:t>
      </w:r>
      <w:r>
        <w:t xml:space="preserve"> in</w:t>
      </w:r>
      <w:r w:rsidRPr="007A4984">
        <w:t xml:space="preserve"> neonati sotto </w:t>
      </w:r>
      <w:r>
        <w:t>l’</w:t>
      </w:r>
      <w:r w:rsidRPr="007A4984">
        <w:t xml:space="preserve">anno </w:t>
      </w:r>
      <w:r>
        <w:t xml:space="preserve">di </w:t>
      </w:r>
      <w:r w:rsidRPr="007A4984">
        <w:t>età e il 9,4% per quelli al di sopra di un</w:t>
      </w:r>
      <w:r>
        <w:t xml:space="preserve"> </w:t>
      </w:r>
      <w:r w:rsidRPr="007A4984">
        <w:t>anno di età. Nel PSUR 16,</w:t>
      </w:r>
      <w:r>
        <w:t xml:space="preserve"> la stima delle dosi ricevute </w:t>
      </w:r>
      <w:r w:rsidRPr="007A4984">
        <w:t>il secondo anno</w:t>
      </w:r>
      <w:r>
        <w:t xml:space="preserve"> è</w:t>
      </w:r>
      <w:r w:rsidRPr="007A4984">
        <w:t xml:space="preserve"> più che raddoppiato (dal 9,4% al 20%), e</w:t>
      </w:r>
      <w:r>
        <w:t xml:space="preserve"> </w:t>
      </w:r>
      <w:r w:rsidRPr="007A4984">
        <w:t xml:space="preserve">quindi la stima delle morti </w:t>
      </w:r>
      <w:r>
        <w:t>attese</w:t>
      </w:r>
      <w:r w:rsidRPr="007A4984">
        <w:t xml:space="preserve"> è raddoppiata. Nonostante </w:t>
      </w:r>
      <w:r>
        <w:t>il raddoppiament</w:t>
      </w:r>
      <w:r w:rsidRPr="007A4984">
        <w:t xml:space="preserve">o </w:t>
      </w:r>
      <w:r>
        <w:t xml:space="preserve">del </w:t>
      </w:r>
      <w:r w:rsidRPr="007A4984">
        <w:t>le morti attese, il numero di morti osservate</w:t>
      </w:r>
      <w:r>
        <w:t xml:space="preserve"> </w:t>
      </w:r>
      <w:r w:rsidRPr="007A4984">
        <w:t xml:space="preserve">nel secondo anno era superiore </w:t>
      </w:r>
      <w:r>
        <w:t>a quello atteso</w:t>
      </w:r>
      <w:r w:rsidRPr="007A4984">
        <w:t xml:space="preserve"> nei primi 3 giorni</w:t>
      </w:r>
      <w:r>
        <w:t xml:space="preserve"> </w:t>
      </w:r>
      <w:r w:rsidRPr="007A4984">
        <w:t xml:space="preserve">dopo la vaccinazione (Tabella 36, ​​p249). Se </w:t>
      </w:r>
      <w:r w:rsidR="00CE171D">
        <w:t xml:space="preserve">la </w:t>
      </w:r>
      <w:r w:rsidR="00CE171D" w:rsidRPr="007A4984">
        <w:t xml:space="preserve">stima </w:t>
      </w:r>
      <w:r w:rsidR="00CE171D">
        <w:t>ne</w:t>
      </w:r>
      <w:r w:rsidR="00CE171D" w:rsidRPr="007A4984">
        <w:t xml:space="preserve">l PSUR 15 </w:t>
      </w:r>
      <w:r w:rsidRPr="007A4984">
        <w:t xml:space="preserve">che il 9,4% delle dosi </w:t>
      </w:r>
      <w:r w:rsidR="00CE171D">
        <w:t xml:space="preserve">vengono </w:t>
      </w:r>
      <w:r w:rsidRPr="007A4984">
        <w:t>utilizzate nel secondo anno</w:t>
      </w:r>
      <w:r w:rsidR="00CE171D" w:rsidRPr="00CE171D">
        <w:t xml:space="preserve"> </w:t>
      </w:r>
      <w:r w:rsidR="00CE171D">
        <w:t>è corretta</w:t>
      </w:r>
      <w:r>
        <w:t xml:space="preserve">, ciò </w:t>
      </w:r>
      <w:r w:rsidRPr="007A4984">
        <w:t xml:space="preserve">vale </w:t>
      </w:r>
      <w:r>
        <w:t>anche per il PSUR 16, e</w:t>
      </w:r>
      <w:r w:rsidR="00CE171D">
        <w:t xml:space="preserve"> quindi</w:t>
      </w:r>
      <w:r>
        <w:t xml:space="preserve"> l</w:t>
      </w:r>
      <w:r w:rsidRPr="007A4984">
        <w:t xml:space="preserve">e morti osservate </w:t>
      </w:r>
      <w:r>
        <w:t>risultano</w:t>
      </w:r>
      <w:r w:rsidRPr="007A4984">
        <w:t xml:space="preserve"> superiori a</w:t>
      </w:r>
      <w:r>
        <w:t xml:space="preserve">lle </w:t>
      </w:r>
      <w:r w:rsidRPr="007A4984">
        <w:t xml:space="preserve">morti </w:t>
      </w:r>
      <w:r>
        <w:t>attese</w:t>
      </w:r>
      <w:r w:rsidRPr="007A4984">
        <w:t xml:space="preserve"> nei primi 7 giorni.</w:t>
      </w:r>
    </w:p>
    <w:p w:rsidR="007A4984" w:rsidRDefault="007A4984" w:rsidP="000677AA"/>
    <w:p w:rsidR="007A4984" w:rsidRPr="007A4984" w:rsidRDefault="007A4984" w:rsidP="007A4984">
      <w:pPr>
        <w:ind w:left="-142"/>
        <w:jc w:val="center"/>
      </w:pPr>
      <w:r>
        <w:rPr>
          <w:noProof/>
          <w:lang w:eastAsia="it-IT"/>
        </w:rPr>
        <w:drawing>
          <wp:inline distT="0" distB="0" distL="0" distR="0">
            <wp:extent cx="3495675" cy="2974451"/>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495675" cy="2974451"/>
                    </a:xfrm>
                    <a:prstGeom prst="rect">
                      <a:avLst/>
                    </a:prstGeom>
                    <a:noFill/>
                    <a:ln w="9525">
                      <a:noFill/>
                      <a:miter lim="800000"/>
                      <a:headEnd/>
                      <a:tailEnd/>
                    </a:ln>
                  </pic:spPr>
                </pic:pic>
              </a:graphicData>
            </a:graphic>
          </wp:inline>
        </w:drawing>
      </w:r>
    </w:p>
    <w:p w:rsidR="00F81C23" w:rsidRPr="007A4984" w:rsidRDefault="00F81C23" w:rsidP="00CB4943">
      <w:pPr>
        <w:ind w:left="-142"/>
      </w:pPr>
    </w:p>
    <w:p w:rsidR="00F81C23" w:rsidRPr="007A4984" w:rsidRDefault="00F81C23" w:rsidP="00CB4943">
      <w:pPr>
        <w:ind w:left="-142"/>
      </w:pPr>
    </w:p>
    <w:p w:rsidR="007519C6" w:rsidRPr="007A4984" w:rsidRDefault="007519C6" w:rsidP="00CD0B47"/>
    <w:p w:rsidR="00CE171D" w:rsidRPr="00CE171D" w:rsidRDefault="00CE171D" w:rsidP="00CE171D">
      <w:pPr>
        <w:rPr>
          <w:b/>
        </w:rPr>
      </w:pPr>
      <w:r w:rsidRPr="00CE171D">
        <w:rPr>
          <w:b/>
        </w:rPr>
        <w:t>PSUR 19: le morti previste ponderate per paese e proporzione annuale delle dosi</w:t>
      </w:r>
    </w:p>
    <w:p w:rsidR="00E01CB5" w:rsidRDefault="00CE171D" w:rsidP="00CE171D">
      <w:r>
        <w:t xml:space="preserve">Nel PSUR 19, una media ponderata </w:t>
      </w:r>
      <w:r w:rsidR="00E01CB5">
        <w:t xml:space="preserve">in base al calendario </w:t>
      </w:r>
      <w:r>
        <w:t>dei tassi d’incidenza di morti improvvise  tedesca, francese e olandese è stata calcolata per arrivare all'incidenza attesa di morti improvvise.</w:t>
      </w:r>
    </w:p>
    <w:p w:rsidR="00E01CB5" w:rsidRDefault="00CE171D" w:rsidP="00CE171D">
      <w:r>
        <w:t>In termini molto semplici, questo significa che se il 60% della dosi sono state distribuite in Ge</w:t>
      </w:r>
      <w:r w:rsidR="00E01CB5">
        <w:t>rmania in un determinato anno, a</w:t>
      </w:r>
      <w:r>
        <w:t>l tasso di SD</w:t>
      </w:r>
      <w:r w:rsidR="00E01CB5">
        <w:t xml:space="preserve"> (</w:t>
      </w:r>
      <w:proofErr w:type="spellStart"/>
      <w:r w:rsidR="00E01CB5">
        <w:t>Sudden</w:t>
      </w:r>
      <w:proofErr w:type="spellEnd"/>
      <w:r w:rsidR="00E01CB5">
        <w:t xml:space="preserve"> Death) </w:t>
      </w:r>
      <w:r>
        <w:t>in Germania è stato dato un peso del 60% al momento del calcolo</w:t>
      </w:r>
      <w:r w:rsidR="00E01CB5">
        <w:t xml:space="preserve"> del</w:t>
      </w:r>
      <w:r>
        <w:t xml:space="preserve"> tasso di SD complessivo per quell'anno; se il 30% è stato distribuito</w:t>
      </w:r>
      <w:r w:rsidR="00E01CB5">
        <w:t xml:space="preserve"> in </w:t>
      </w:r>
      <w:r>
        <w:t xml:space="preserve">Francia, il tasso di SD in Francia </w:t>
      </w:r>
      <w:r w:rsidR="00E01CB5">
        <w:t>ha contribuito</w:t>
      </w:r>
      <w:r>
        <w:t xml:space="preserve"> </w:t>
      </w:r>
      <w:r w:rsidR="00E01CB5">
        <w:t>per i</w:t>
      </w:r>
      <w:r>
        <w:t>l 30%</w:t>
      </w:r>
      <w:r w:rsidR="00E01CB5">
        <w:t xml:space="preserve">, </w:t>
      </w:r>
      <w:r>
        <w:t xml:space="preserve">e il peso del 10% è stato dato </w:t>
      </w:r>
      <w:r w:rsidR="00E01CB5">
        <w:t xml:space="preserve">al tasso SD olandese. Infine, </w:t>
      </w:r>
      <w:r>
        <w:t xml:space="preserve">il tasso globale di SD è stato calcolato per tutti gli anni insieme. </w:t>
      </w:r>
    </w:p>
    <w:p w:rsidR="00CE171D" w:rsidRDefault="00CE171D" w:rsidP="00CE171D">
      <w:r>
        <w:t>Il</w:t>
      </w:r>
      <w:r w:rsidR="00E01CB5">
        <w:t xml:space="preserve"> </w:t>
      </w:r>
      <w:r>
        <w:t>tasso complessivo di SD è stato calcolato come 0</w:t>
      </w:r>
      <w:r w:rsidR="00E01CB5">
        <w:t>.0102 / 1000 nascite vive per il s</w:t>
      </w:r>
      <w:r>
        <w:t>econdo anno. Questa cifra è un sesto della frequenza attesa utilizzata</w:t>
      </w:r>
      <w:r w:rsidR="00E01CB5">
        <w:t xml:space="preserve"> </w:t>
      </w:r>
      <w:r>
        <w:t>nei PSUR 15 e 16 (che calcolavano</w:t>
      </w:r>
      <w:r w:rsidR="00E01CB5">
        <w:t xml:space="preserve"> le </w:t>
      </w:r>
      <w:r>
        <w:t xml:space="preserve">morti </w:t>
      </w:r>
      <w:r w:rsidR="00E01CB5">
        <w:t xml:space="preserve">improvvise </w:t>
      </w:r>
      <w:r>
        <w:t xml:space="preserve">a 0,062 / 1000 nascite vive, utilizzando </w:t>
      </w:r>
      <w:r w:rsidR="00E01CB5">
        <w:t xml:space="preserve">i </w:t>
      </w:r>
      <w:r>
        <w:t>dati tedeschi).</w:t>
      </w:r>
    </w:p>
    <w:p w:rsidR="007519C6" w:rsidRDefault="00C626A6" w:rsidP="00CE171D">
      <w:r>
        <w:t xml:space="preserve">L’intervallo di confidenza (CI) di </w:t>
      </w:r>
      <w:proofErr w:type="spellStart"/>
      <w:r>
        <w:t>Poisson</w:t>
      </w:r>
      <w:proofErr w:type="spellEnd"/>
      <w:r>
        <w:t xml:space="preserve"> del </w:t>
      </w:r>
      <w:r w:rsidR="00E01CB5">
        <w:t xml:space="preserve">95% </w:t>
      </w:r>
      <w:r w:rsidR="00CE171D">
        <w:t>delle morti osservate nel secondo anno</w:t>
      </w:r>
      <w:r>
        <w:t xml:space="preserve"> </w:t>
      </w:r>
      <w:r w:rsidR="00CE171D">
        <w:t>è riportato nella tabella 8 a p 447 del PSUR 19. È riportato</w:t>
      </w:r>
      <w:r>
        <w:t xml:space="preserve"> </w:t>
      </w:r>
      <w:r w:rsidR="00CE171D">
        <w:t>che per il secondo anno di vita, il numero di morti osservate</w:t>
      </w:r>
      <w:r>
        <w:t xml:space="preserve"> </w:t>
      </w:r>
      <w:r w:rsidR="00CE171D">
        <w:t xml:space="preserve">era più elevato, anche se non significativamente, di quello </w:t>
      </w:r>
      <w:r>
        <w:t xml:space="preserve">delle </w:t>
      </w:r>
      <w:r w:rsidR="00CE171D">
        <w:t xml:space="preserve">morti </w:t>
      </w:r>
      <w:r>
        <w:t xml:space="preserve">attese </w:t>
      </w:r>
      <w:r w:rsidR="00CE171D">
        <w:t>entro un periodo di rischio di 1-4 giorni dopo la vaccinazione.</w:t>
      </w:r>
    </w:p>
    <w:p w:rsidR="00C626A6" w:rsidRDefault="00C626A6" w:rsidP="00CE171D"/>
    <w:p w:rsidR="00C626A6" w:rsidRDefault="00C626A6" w:rsidP="00CE171D"/>
    <w:p w:rsidR="00C626A6" w:rsidRPr="00C626A6" w:rsidRDefault="00C626A6" w:rsidP="00C626A6">
      <w:pPr>
        <w:rPr>
          <w:b/>
        </w:rPr>
      </w:pPr>
      <w:r w:rsidRPr="00C626A6">
        <w:rPr>
          <w:b/>
        </w:rPr>
        <w:lastRenderedPageBreak/>
        <w:t>Morti mancanti nel PSUR 19</w:t>
      </w:r>
    </w:p>
    <w:p w:rsidR="00C626A6" w:rsidRDefault="00C626A6" w:rsidP="00C626A6">
      <w:r>
        <w:t xml:space="preserve">Dal PSUR 16 al PSUR 19, le dosi totali del  vaccino sono salite da 69 a 112 milioni. Secondo il PSUR 19, è stato assunto che  il 20,2% delle dosi distribuite sia stato somministrato ai bambini nel secondo anno di vita (PSUR 19, </w:t>
      </w:r>
      <w:proofErr w:type="spellStart"/>
      <w:r>
        <w:t>pp</w:t>
      </w:r>
      <w:proofErr w:type="spellEnd"/>
      <w:r>
        <w:t xml:space="preserve"> 436-448). I casi di morte in cui l'età della vaccinazione non era noto, la data del decesso non era registrata, o il tempo del decesso superava i 19 giorni dalla vaccinazione, sono stati esclusi.</w:t>
      </w:r>
    </w:p>
    <w:p w:rsidR="00C626A6" w:rsidRDefault="00C626A6" w:rsidP="00C626A6">
      <w:r>
        <w:t xml:space="preserve">Il PSUR 19 (morti fino al 22 ottobre 2014) non segnala le morti improvvise menzionate nel PSUR 16 (casi di morte che sono avvenuti fino al 22 ottobre 2011). È da notare che nel PSUR 16 l'età del bambino morto dopo la vaccinazione e </w:t>
      </w:r>
      <w:r w:rsidR="001506E6">
        <w:t>il</w:t>
      </w:r>
      <w:r>
        <w:t xml:space="preserve"> </w:t>
      </w:r>
      <w:r w:rsidR="001506E6">
        <w:t>tempo del decesso</w:t>
      </w:r>
      <w:r>
        <w:t xml:space="preserve"> (entro 14 giorni dalla vaccinazione) sono stati entrambi registrati.</w:t>
      </w:r>
    </w:p>
    <w:p w:rsidR="00C626A6" w:rsidRDefault="00C626A6" w:rsidP="00C626A6">
      <w:r>
        <w:t xml:space="preserve">Le morti cumulative riportate sono più basse nel PSUR 19 </w:t>
      </w:r>
      <w:r w:rsidR="001506E6">
        <w:t>rispetto al</w:t>
      </w:r>
      <w:r>
        <w:t xml:space="preserve"> PSUR 16. Quanto ai bambini al di sopra di un anno, il PSUR</w:t>
      </w:r>
      <w:r w:rsidR="001506E6">
        <w:t xml:space="preserve"> </w:t>
      </w:r>
      <w:r>
        <w:t>19 registra il verificarsi di soli 5 morti nei primi 19 giorni</w:t>
      </w:r>
      <w:r w:rsidR="001506E6">
        <w:t xml:space="preserve"> </w:t>
      </w:r>
      <w:r>
        <w:t xml:space="preserve">dopo la vaccinazione, mentre il PSUR 16 </w:t>
      </w:r>
      <w:r w:rsidR="001506E6">
        <w:t xml:space="preserve">ne </w:t>
      </w:r>
      <w:r>
        <w:t>riporta 8. I numeri</w:t>
      </w:r>
      <w:r w:rsidR="001506E6">
        <w:t xml:space="preserve"> </w:t>
      </w:r>
      <w:r>
        <w:t>non sono coerenti tra di loro. Ci chiediamo perché sia ​​così.</w:t>
      </w:r>
    </w:p>
    <w:p w:rsidR="00757360" w:rsidRDefault="00C626A6" w:rsidP="00757360">
      <w:r>
        <w:t xml:space="preserve">Dieci anni dopo la pubblicazione </w:t>
      </w:r>
      <w:r w:rsidR="001506E6">
        <w:t>dell’articolo del CDC (</w:t>
      </w:r>
      <w:r>
        <w:t>Centro per il Controllo delle Malattie</w:t>
      </w:r>
      <w:r w:rsidR="001506E6">
        <w:t>) che  esaminava il rapporto tra il vaccino contro morbillo, parotite e rosolia (MMR) e autismo (8), uno degli autori, William Thompson, h</w:t>
      </w:r>
      <w:r>
        <w:t xml:space="preserve">a ammesso che lui e </w:t>
      </w:r>
      <w:r w:rsidR="001506E6">
        <w:t>i suoi co-</w:t>
      </w:r>
      <w:r>
        <w:t>autori hanno omesso di mostrare informazioni statisticamente significative</w:t>
      </w:r>
      <w:r w:rsidR="001506E6">
        <w:t xml:space="preserve"> </w:t>
      </w:r>
      <w:r>
        <w:t xml:space="preserve">che maschi afro-americani che </w:t>
      </w:r>
      <w:r w:rsidR="001506E6">
        <w:t xml:space="preserve">avevano </w:t>
      </w:r>
      <w:r>
        <w:t>ricevuto</w:t>
      </w:r>
      <w:r w:rsidR="001506E6">
        <w:t xml:space="preserve"> l’</w:t>
      </w:r>
      <w:r>
        <w:t>MMR prima</w:t>
      </w:r>
      <w:r w:rsidR="001506E6">
        <w:t xml:space="preserve"> dell’</w:t>
      </w:r>
      <w:r>
        <w:t xml:space="preserve">età di 36 mesi </w:t>
      </w:r>
      <w:r w:rsidR="001506E6">
        <w:t xml:space="preserve">presentavano un aumento </w:t>
      </w:r>
      <w:r>
        <w:t>del rischio di autismo (9)</w:t>
      </w:r>
      <w:r w:rsidR="001506E6">
        <w:t>. G</w:t>
      </w:r>
      <w:r>
        <w:t xml:space="preserve">li autori hanno cancellato i dati dei bambini che non </w:t>
      </w:r>
      <w:r w:rsidR="001506E6">
        <w:t>avevano</w:t>
      </w:r>
      <w:r>
        <w:t xml:space="preserve"> </w:t>
      </w:r>
      <w:r w:rsidR="001506E6">
        <w:t xml:space="preserve">il certificato di nascita in </w:t>
      </w:r>
      <w:r>
        <w:t>Georgia</w:t>
      </w:r>
      <w:r w:rsidR="001506E6">
        <w:t xml:space="preserve"> </w:t>
      </w:r>
      <w:r>
        <w:t>(10), in modo da escludere uno sproporzionato</w:t>
      </w:r>
      <w:r w:rsidR="001506E6">
        <w:t xml:space="preserve"> </w:t>
      </w:r>
      <w:r>
        <w:t>numero di bambini neri, e ha</w:t>
      </w:r>
      <w:r w:rsidR="00757360">
        <w:t>nno</w:t>
      </w:r>
      <w:r>
        <w:t xml:space="preserve"> presentato i loro dati in modo </w:t>
      </w:r>
      <w:r w:rsidR="00757360">
        <w:t xml:space="preserve">da dimostrare che non vi era stato un aumento del rischio. </w:t>
      </w:r>
    </w:p>
    <w:p w:rsidR="00757360" w:rsidRDefault="00757360" w:rsidP="00757360">
      <w:r>
        <w:t>Non è chiaro se gli autori del PSUR 19 hanno similmente escluso bambini morti e documentati nel PSUR 16.</w:t>
      </w:r>
    </w:p>
    <w:p w:rsidR="00757360" w:rsidRDefault="00757360" w:rsidP="00757360">
      <w:r>
        <w:t>La tabella 3 presenta le morti osservate e attese riportate nel PSUR 19 e le morti osservate dopo il ripristino delle morti riportate nel PSUR 16.</w:t>
      </w:r>
    </w:p>
    <w:p w:rsidR="00757360" w:rsidRDefault="00757360" w:rsidP="00757360"/>
    <w:p w:rsidR="00757360" w:rsidRDefault="00757360" w:rsidP="00757360">
      <w:pPr>
        <w:jc w:val="center"/>
      </w:pPr>
      <w:r>
        <w:rPr>
          <w:noProof/>
          <w:lang w:eastAsia="it-IT"/>
        </w:rPr>
        <w:drawing>
          <wp:inline distT="0" distB="0" distL="0" distR="0">
            <wp:extent cx="3190875" cy="5057775"/>
            <wp:effectExtent l="1905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190875" cy="5057775"/>
                    </a:xfrm>
                    <a:prstGeom prst="rect">
                      <a:avLst/>
                    </a:prstGeom>
                    <a:noFill/>
                    <a:ln w="9525">
                      <a:noFill/>
                      <a:miter lim="800000"/>
                      <a:headEnd/>
                      <a:tailEnd/>
                    </a:ln>
                  </pic:spPr>
                </pic:pic>
              </a:graphicData>
            </a:graphic>
          </wp:inline>
        </w:drawing>
      </w:r>
    </w:p>
    <w:p w:rsidR="00C626A6" w:rsidRDefault="00757360" w:rsidP="00757360">
      <w:r>
        <w:lastRenderedPageBreak/>
        <w:t>Quando vengono utilizzati i dati delle morti osservate nel PSUR 16, il numero di morti osservate è significativamente superiore al previsto per i primi quattro giorni dopo la vaccinazione. Dev'essere tenuto presente, come spiegato in precedenza, che poiché il numero delle morti osservate è raccolto in modo passivo, è probabile che sia sottostimato. Le morti</w:t>
      </w:r>
      <w:r w:rsidR="006F286C">
        <w:t xml:space="preserve"> attese, d'altra parte, sono p</w:t>
      </w:r>
      <w:r>
        <w:t>robabilmente sovrastimat</w:t>
      </w:r>
      <w:r w:rsidR="006F286C">
        <w:t xml:space="preserve">e </w:t>
      </w:r>
      <w:r>
        <w:t>in quanto vengono calcolat</w:t>
      </w:r>
      <w:r w:rsidR="006F286C">
        <w:t>e</w:t>
      </w:r>
      <w:r>
        <w:t xml:space="preserve"> con il</w:t>
      </w:r>
      <w:r w:rsidR="006F286C">
        <w:t xml:space="preserve"> </w:t>
      </w:r>
      <w:r>
        <w:t>presupposto che tutte le dosi distribuite siano state utilizzate</w:t>
      </w:r>
      <w:r w:rsidR="006F286C">
        <w:t xml:space="preserve"> </w:t>
      </w:r>
      <w:r>
        <w:t xml:space="preserve">senza alcuna perdita e nessun vaccino </w:t>
      </w:r>
      <w:r w:rsidR="006F286C">
        <w:t>sia</w:t>
      </w:r>
      <w:r>
        <w:t xml:space="preserve"> stato scartato</w:t>
      </w:r>
      <w:r w:rsidR="006F286C">
        <w:t xml:space="preserve"> perché scaduto</w:t>
      </w:r>
      <w:r>
        <w:t>. GSK avrebbe dovuto segnalare</w:t>
      </w:r>
      <w:r w:rsidR="006F286C">
        <w:t xml:space="preserve"> l’aumento del</w:t>
      </w:r>
      <w:r>
        <w:t xml:space="preserve"> rischio statisticamente significativo di morte nei quattro giorni dopo la vaccinazione all'autorità </w:t>
      </w:r>
      <w:proofErr w:type="spellStart"/>
      <w:r w:rsidR="006F286C">
        <w:t>regolatoria</w:t>
      </w:r>
      <w:proofErr w:type="spellEnd"/>
      <w:r>
        <w:t xml:space="preserve"> e</w:t>
      </w:r>
      <w:r w:rsidR="006F286C">
        <w:t xml:space="preserve">  ai </w:t>
      </w:r>
      <w:r>
        <w:t>medici.</w:t>
      </w:r>
    </w:p>
    <w:p w:rsidR="006F286C" w:rsidRDefault="006F286C" w:rsidP="00757360"/>
    <w:p w:rsidR="006F286C" w:rsidRPr="006F286C" w:rsidRDefault="006F286C" w:rsidP="006F286C">
      <w:pPr>
        <w:rPr>
          <w:b/>
        </w:rPr>
      </w:pPr>
      <w:r w:rsidRPr="006F286C">
        <w:rPr>
          <w:b/>
        </w:rPr>
        <w:t>Le dosi utilizzate nel secondo anno</w:t>
      </w:r>
    </w:p>
    <w:p w:rsidR="006F286C" w:rsidRDefault="006F286C" w:rsidP="006F286C">
      <w:r>
        <w:t xml:space="preserve">Il PSUR 19 presuppone che il 20,2% delle dosi sia stato utilizzato il secondo anno. </w:t>
      </w:r>
      <w:r w:rsidR="00F521F2">
        <w:t>Esso a</w:t>
      </w:r>
      <w:r>
        <w:t>fferma che la distribuzione dell'età in cui i soggetti sono vaccinati è sconosciuta, e l'azienda ha ipotizzato che la proporzione di eventi avversi (tra cui la morte) per età è rappresentativo della distribuzione effettiva dell'età alla vaccinazione. Così, poiché il 20,2% degli eventi avversi si è verificato nei bambini al di sopra di un anno di età, la società ha assunto che il 20,2% delle dosi siano state usate per questo gruppo di età.</w:t>
      </w:r>
    </w:p>
    <w:p w:rsidR="00F521F2" w:rsidRDefault="006F286C" w:rsidP="006F286C">
      <w:r>
        <w:t>È facile stimare il numero di dosi utilizzate nel secondo</w:t>
      </w:r>
      <w:r w:rsidR="00F521F2">
        <w:t xml:space="preserve"> </w:t>
      </w:r>
      <w:r>
        <w:t>anno sulla base degli ev</w:t>
      </w:r>
      <w:r w:rsidR="00F521F2">
        <w:t xml:space="preserve">enti avversi osservati (compresa la </w:t>
      </w:r>
      <w:r>
        <w:t xml:space="preserve">morte), </w:t>
      </w:r>
      <w:r w:rsidR="00F521F2">
        <w:t xml:space="preserve">poi </w:t>
      </w:r>
      <w:r>
        <w:t xml:space="preserve">utilizzare questa stima delle dosi per calcolare il numero di morti </w:t>
      </w:r>
      <w:r w:rsidR="00F521F2">
        <w:t xml:space="preserve">attese, e infine </w:t>
      </w:r>
      <w:r>
        <w:t>confrontarlo</w:t>
      </w:r>
      <w:r w:rsidR="00F521F2">
        <w:t xml:space="preserve"> con il </w:t>
      </w:r>
      <w:r>
        <w:t xml:space="preserve">numero di morti osservate </w:t>
      </w:r>
      <w:r w:rsidR="00F521F2">
        <w:t>–</w:t>
      </w:r>
      <w:r>
        <w:t xml:space="preserve"> </w:t>
      </w:r>
      <w:r w:rsidR="00F521F2">
        <w:t>dato che</w:t>
      </w:r>
      <w:r>
        <w:t xml:space="preserve"> la stima</w:t>
      </w:r>
      <w:r w:rsidR="00F521F2">
        <w:t xml:space="preserve"> </w:t>
      </w:r>
      <w:r>
        <w:t xml:space="preserve">delle morti </w:t>
      </w:r>
      <w:r w:rsidR="00F521F2">
        <w:t>attese</w:t>
      </w:r>
      <w:r>
        <w:t xml:space="preserve"> è calcolata </w:t>
      </w:r>
      <w:r w:rsidR="00F521F2">
        <w:t xml:space="preserve">in primo luogo </w:t>
      </w:r>
      <w:r>
        <w:t xml:space="preserve">dagli </w:t>
      </w:r>
      <w:r w:rsidR="00F521F2">
        <w:t xml:space="preserve">eventi </w:t>
      </w:r>
      <w:r>
        <w:t>negativi osservati</w:t>
      </w:r>
      <w:r w:rsidR="00F521F2">
        <w:t xml:space="preserve"> </w:t>
      </w:r>
      <w:r>
        <w:t xml:space="preserve">(inclusa la morte). </w:t>
      </w:r>
    </w:p>
    <w:p w:rsidR="006F3E92" w:rsidRDefault="006F286C" w:rsidP="006F286C">
      <w:r>
        <w:t xml:space="preserve">Supponendo che tutte le morti dopo la vaccinazione siano </w:t>
      </w:r>
      <w:r w:rsidR="00F521F2">
        <w:t xml:space="preserve">di SIDS / SUD </w:t>
      </w:r>
      <w:r>
        <w:t>coincidenti</w:t>
      </w:r>
      <w:r w:rsidR="00F521F2">
        <w:t xml:space="preserve"> </w:t>
      </w:r>
      <w:r>
        <w:t>e non causali correlat</w:t>
      </w:r>
      <w:r w:rsidR="00F521F2">
        <w:t>e</w:t>
      </w:r>
      <w:r>
        <w:t xml:space="preserve"> al vaccino, e</w:t>
      </w:r>
      <w:r w:rsidR="00F521F2">
        <w:t xml:space="preserve"> </w:t>
      </w:r>
      <w:r>
        <w:t>dato che (secondo il PSUR 19) la</w:t>
      </w:r>
      <w:r w:rsidR="00F521F2">
        <w:t xml:space="preserve"> frequenza naturale del</w:t>
      </w:r>
      <w:r>
        <w:t xml:space="preserve">la morte improvvisa nel primo anno è 44 volte superiore a quella </w:t>
      </w:r>
      <w:r w:rsidR="00F521F2">
        <w:t>nel</w:t>
      </w:r>
      <w:r>
        <w:t xml:space="preserve"> secondo anno (0.441 / 1000 nel primo anno e 0.0102 / 1000</w:t>
      </w:r>
      <w:r w:rsidR="00F521F2">
        <w:t xml:space="preserve"> </w:t>
      </w:r>
      <w:r>
        <w:t xml:space="preserve">nel secondo anno), </w:t>
      </w:r>
      <w:r w:rsidR="00F521F2">
        <w:t xml:space="preserve">devono essere vaccinati </w:t>
      </w:r>
      <w:r>
        <w:t>44 volte</w:t>
      </w:r>
      <w:r w:rsidR="00F521F2">
        <w:t xml:space="preserve"> in</w:t>
      </w:r>
      <w:r w:rsidR="006F3E92">
        <w:t xml:space="preserve"> </w:t>
      </w:r>
      <w:r>
        <w:t xml:space="preserve">più </w:t>
      </w:r>
      <w:r w:rsidR="006F3E92">
        <w:t xml:space="preserve">di </w:t>
      </w:r>
      <w:r>
        <w:t>bambini nel secondo anno per raggiungere lo stesso numero di</w:t>
      </w:r>
      <w:r w:rsidR="006F3E92">
        <w:t xml:space="preserve"> </w:t>
      </w:r>
      <w:r>
        <w:t xml:space="preserve">morti come nel primo anno. </w:t>
      </w:r>
    </w:p>
    <w:p w:rsidR="006F286C" w:rsidRDefault="006F286C" w:rsidP="006F286C">
      <w:r>
        <w:t>In una coorte di 100 morti, se il 20% di</w:t>
      </w:r>
      <w:r w:rsidR="006F3E92">
        <w:t xml:space="preserve"> m</w:t>
      </w:r>
      <w:r>
        <w:t>orti improvvis</w:t>
      </w:r>
      <w:r w:rsidR="006F3E92">
        <w:t>e</w:t>
      </w:r>
      <w:r>
        <w:t xml:space="preserve"> si verificano nel secondo anno e l'80% nel primo</w:t>
      </w:r>
      <w:r w:rsidR="006F3E92">
        <w:t xml:space="preserve"> </w:t>
      </w:r>
      <w:r>
        <w:t xml:space="preserve">anno, 880 bambini </w:t>
      </w:r>
      <w:r w:rsidR="006F3E92">
        <w:t xml:space="preserve">[20 x 44 N.d.T.] </w:t>
      </w:r>
      <w:r>
        <w:t>devono essere vaccinati nel secondo anno</w:t>
      </w:r>
      <w:r w:rsidR="006F3E92">
        <w:t xml:space="preserve"> </w:t>
      </w:r>
      <w:r>
        <w:t>per ogni 80 vaccinati nel primo anno. In que</w:t>
      </w:r>
      <w:r w:rsidR="006F3E92">
        <w:t>sto</w:t>
      </w:r>
      <w:r>
        <w:t xml:space="preserve"> caso, </w:t>
      </w:r>
      <w:r w:rsidR="006F3E92">
        <w:t>si verrebbe ad assumere</w:t>
      </w:r>
      <w:r>
        <w:t xml:space="preserve"> che il 91% di tutte le dosi di </w:t>
      </w:r>
      <w:proofErr w:type="spellStart"/>
      <w:r>
        <w:t>Infanrix</w:t>
      </w:r>
      <w:proofErr w:type="spellEnd"/>
      <w:r>
        <w:t xml:space="preserve"> </w:t>
      </w:r>
      <w:proofErr w:type="spellStart"/>
      <w:r>
        <w:t>hexa</w:t>
      </w:r>
      <w:proofErr w:type="spellEnd"/>
      <w:r>
        <w:t xml:space="preserve"> </w:t>
      </w:r>
      <w:r w:rsidR="00B023D3">
        <w:t>sarebbe</w:t>
      </w:r>
      <w:r w:rsidR="006F3E92">
        <w:t xml:space="preserve"> stato</w:t>
      </w:r>
      <w:r>
        <w:t xml:space="preserve"> utilizzato nel secondo anno e solo il 9% nel primo anno (</w:t>
      </w:r>
      <w:r w:rsidR="006F3E92">
        <w:t>invece del contrario</w:t>
      </w:r>
      <w:r>
        <w:t>). Ciò riflette l'assurdità di</w:t>
      </w:r>
    </w:p>
    <w:p w:rsidR="00B023D3" w:rsidRDefault="006F286C" w:rsidP="006F286C">
      <w:r>
        <w:t>calcola</w:t>
      </w:r>
      <w:r w:rsidR="00B023D3">
        <w:t>re</w:t>
      </w:r>
      <w:r>
        <w:t xml:space="preserve"> la distribuzione della dose per età, sulla base </w:t>
      </w:r>
      <w:r w:rsidR="00B023D3">
        <w:t xml:space="preserve">della distribuzione </w:t>
      </w:r>
      <w:r>
        <w:t>dell'età</w:t>
      </w:r>
      <w:r w:rsidR="00B023D3">
        <w:t xml:space="preserve"> </w:t>
      </w:r>
      <w:r>
        <w:t xml:space="preserve">degli eventi avversi, come fatto nel documento GSK. </w:t>
      </w:r>
    </w:p>
    <w:p w:rsidR="006F286C" w:rsidRDefault="006F286C" w:rsidP="006F286C">
      <w:r>
        <w:t>L 'unico modo per valutare il</w:t>
      </w:r>
      <w:r w:rsidR="00B023D3">
        <w:t xml:space="preserve"> numero di dosi utilizzate nel s</w:t>
      </w:r>
      <w:r>
        <w:t>econdo anno è quello di esaminare i programmi di vaccinazione in</w:t>
      </w:r>
      <w:r w:rsidR="00B023D3">
        <w:t xml:space="preserve"> </w:t>
      </w:r>
      <w:r>
        <w:t xml:space="preserve">differenti paesi - guardando </w:t>
      </w:r>
      <w:r w:rsidR="00B023D3">
        <w:t xml:space="preserve">quali </w:t>
      </w:r>
      <w:r>
        <w:t xml:space="preserve">paesi </w:t>
      </w:r>
      <w:r w:rsidR="00B023D3">
        <w:t xml:space="preserve">consigliano la </w:t>
      </w:r>
      <w:r>
        <w:t>quart</w:t>
      </w:r>
      <w:r w:rsidR="00B023D3">
        <w:t xml:space="preserve">a </w:t>
      </w:r>
      <w:r>
        <w:t>dose nel secondo anno e qu</w:t>
      </w:r>
      <w:r w:rsidR="00B023D3">
        <w:t>al</w:t>
      </w:r>
      <w:r>
        <w:t>i non consigliano le dosi</w:t>
      </w:r>
      <w:r w:rsidR="00B023D3">
        <w:t xml:space="preserve"> </w:t>
      </w:r>
      <w:r>
        <w:t>nel secondo anno. Può essere assegnato un peso per il numero di</w:t>
      </w:r>
      <w:r w:rsidR="00B023D3">
        <w:t xml:space="preserve"> </w:t>
      </w:r>
      <w:r>
        <w:t>dosi distribuite in questi paesi. Il tasso di abbandono (bambini</w:t>
      </w:r>
      <w:r w:rsidR="00B023D3">
        <w:t xml:space="preserve"> che </w:t>
      </w:r>
      <w:r>
        <w:t>abbandon</w:t>
      </w:r>
      <w:r w:rsidR="00B023D3">
        <w:t>ano</w:t>
      </w:r>
      <w:r>
        <w:t xml:space="preserve"> </w:t>
      </w:r>
      <w:r w:rsidR="00B023D3">
        <w:t>i</w:t>
      </w:r>
      <w:r>
        <w:t xml:space="preserve">l programma di vaccinazione dopo aver ricevuto </w:t>
      </w:r>
      <w:r w:rsidR="00B023D3">
        <w:t>le prime dosi di</w:t>
      </w:r>
      <w:r>
        <w:t xml:space="preserve"> vaccino) devono essere considerate anche nel calcolo finale</w:t>
      </w:r>
      <w:r w:rsidR="00B023D3">
        <w:t xml:space="preserve"> della</w:t>
      </w:r>
      <w:r>
        <w:t xml:space="preserve"> percentuale di dosi utilizzate nel secondo anno. Sembrerebbe</w:t>
      </w:r>
      <w:r w:rsidR="00B023D3">
        <w:t xml:space="preserve"> </w:t>
      </w:r>
      <w:r>
        <w:t>che una stima ragionevole delle dosi utilizzate nel secondo anno</w:t>
      </w:r>
      <w:r w:rsidR="00B023D3">
        <w:t xml:space="preserve"> sia</w:t>
      </w:r>
      <w:r>
        <w:t xml:space="preserve"> il 9,4% delle dosi totali e questa è la cifra utilizzata</w:t>
      </w:r>
      <w:r w:rsidR="00B023D3">
        <w:t xml:space="preserve"> </w:t>
      </w:r>
      <w:r>
        <w:t>il PSUR 15.</w:t>
      </w:r>
    </w:p>
    <w:p w:rsidR="00B023D3" w:rsidRDefault="00B023D3" w:rsidP="006F286C"/>
    <w:p w:rsidR="00B023D3" w:rsidRPr="00B023D3" w:rsidRDefault="00B023D3" w:rsidP="00B023D3">
      <w:pPr>
        <w:rPr>
          <w:b/>
        </w:rPr>
      </w:pPr>
      <w:r w:rsidRPr="00B023D3">
        <w:rPr>
          <w:b/>
        </w:rPr>
        <w:t xml:space="preserve">Il dilemma etico - il problema del </w:t>
      </w:r>
      <w:r w:rsidR="00D04BD3">
        <w:rPr>
          <w:b/>
        </w:rPr>
        <w:t>carrello</w:t>
      </w:r>
    </w:p>
    <w:p w:rsidR="00B023D3" w:rsidRDefault="00B023D3" w:rsidP="00D04BD3">
      <w:r>
        <w:t xml:space="preserve">Questo commento non cerca di esaminare se questi eccessivi decessi dopo la vaccinazione (presumibilmente causati dal vaccino) può essere compensato dalle vite salvate dalla malattia con la prevenzione ottenuta con il vaccino. Nel suo classico esperimento </w:t>
      </w:r>
      <w:r w:rsidR="00D04BD3">
        <w:t xml:space="preserve">mentale, </w:t>
      </w:r>
      <w:r>
        <w:t>chiamato il "dilemma del carrello"</w:t>
      </w:r>
      <w:r w:rsidR="00D04BD3">
        <w:t xml:space="preserve"> (trolley dilemma)</w:t>
      </w:r>
      <w:r>
        <w:t xml:space="preserve">, </w:t>
      </w:r>
      <w:proofErr w:type="spellStart"/>
      <w:r w:rsidR="00D04BD3">
        <w:t>Philippa</w:t>
      </w:r>
      <w:proofErr w:type="spellEnd"/>
      <w:r w:rsidR="00D04BD3">
        <w:t xml:space="preserve"> </w:t>
      </w:r>
      <w:proofErr w:type="spellStart"/>
      <w:r w:rsidR="00D04BD3">
        <w:t>Foot</w:t>
      </w:r>
      <w:proofErr w:type="spellEnd"/>
      <w:r w:rsidR="00D04BD3">
        <w:t xml:space="preserve"> </w:t>
      </w:r>
      <w:r>
        <w:t>chiede se è etico reindirizzare un carrello</w:t>
      </w:r>
      <w:r w:rsidR="00D04BD3">
        <w:t xml:space="preserve"> </w:t>
      </w:r>
      <w:r>
        <w:t>sfuggito da una pista</w:t>
      </w:r>
      <w:r w:rsidR="00D04BD3" w:rsidRPr="00D04BD3">
        <w:t xml:space="preserve"> </w:t>
      </w:r>
      <w:r w:rsidR="00D04BD3">
        <w:t xml:space="preserve">ferroviaria </w:t>
      </w:r>
      <w:r>
        <w:t>che avrebbe ucciso cinque persone in un'altra pista dove solo</w:t>
      </w:r>
      <w:r w:rsidR="00D04BD3">
        <w:t xml:space="preserve"> </w:t>
      </w:r>
      <w:r>
        <w:t>uno sarebbe morto (11). In una variante del dilemma del carrello, la</w:t>
      </w:r>
      <w:r w:rsidR="00D04BD3">
        <w:t xml:space="preserve"> </w:t>
      </w:r>
      <w:r>
        <w:t>persona singola sulla pista alternativa è il figlio della persona</w:t>
      </w:r>
      <w:r w:rsidR="00D04BD3">
        <w:t xml:space="preserve"> </w:t>
      </w:r>
      <w:r>
        <w:t xml:space="preserve">che può commutare le </w:t>
      </w:r>
      <w:r w:rsidR="00D04BD3">
        <w:t>piste</w:t>
      </w:r>
      <w:r>
        <w:t>.</w:t>
      </w:r>
      <w:r w:rsidR="00D04BD3">
        <w:rPr>
          <w:rStyle w:val="Rimandonotaapidipagina"/>
        </w:rPr>
        <w:footnoteReference w:id="2"/>
      </w:r>
      <w:r>
        <w:t xml:space="preserve"> Judith Thomson assume che </w:t>
      </w:r>
      <w:r w:rsidR="00D04BD3">
        <w:t xml:space="preserve">le vite </w:t>
      </w:r>
      <w:r>
        <w:t>cinque</w:t>
      </w:r>
      <w:r w:rsidR="00D04BD3">
        <w:t xml:space="preserve"> </w:t>
      </w:r>
      <w:r>
        <w:t>possono essere salvat</w:t>
      </w:r>
      <w:r w:rsidR="00D04BD3">
        <w:t xml:space="preserve">e con trapianti di </w:t>
      </w:r>
      <w:r w:rsidR="00D04BD3">
        <w:lastRenderedPageBreak/>
        <w:t>organi da un</w:t>
      </w:r>
      <w:r>
        <w:t xml:space="preserve"> </w:t>
      </w:r>
      <w:r w:rsidR="00D04BD3">
        <w:t xml:space="preserve">donatore </w:t>
      </w:r>
      <w:r>
        <w:t>sano</w:t>
      </w:r>
      <w:r w:rsidR="00D04BD3">
        <w:t xml:space="preserve">, e chiede se sarebbe etico uccidere </w:t>
      </w:r>
      <w:r w:rsidR="008C039E">
        <w:t xml:space="preserve">intenzionalmente </w:t>
      </w:r>
      <w:r w:rsidR="00D04BD3">
        <w:t xml:space="preserve">una persona per salvare gli altri cinque (12). Gli etici sostengono che </w:t>
      </w:r>
      <w:r w:rsidR="008C039E">
        <w:t xml:space="preserve">il </w:t>
      </w:r>
      <w:r w:rsidR="00D04BD3">
        <w:t xml:space="preserve">fine non può giustificare i mezzi. Se </w:t>
      </w:r>
      <w:r w:rsidR="001558F1">
        <w:t xml:space="preserve">si cela </w:t>
      </w:r>
      <w:r w:rsidR="008C039E">
        <w:t xml:space="preserve">la </w:t>
      </w:r>
      <w:r w:rsidR="00D04BD3">
        <w:t>morte</w:t>
      </w:r>
      <w:r w:rsidR="008C039E">
        <w:t xml:space="preserve"> </w:t>
      </w:r>
      <w:r w:rsidR="00D04BD3">
        <w:t>dopo la vaccinazione, si può impedire / ritardare la valutazione del</w:t>
      </w:r>
      <w:r w:rsidR="008C039E">
        <w:t xml:space="preserve"> </w:t>
      </w:r>
      <w:r w:rsidR="00D04BD3">
        <w:t xml:space="preserve">profilo di sicurezza del vaccino e questo ha il potenziale di </w:t>
      </w:r>
      <w:r w:rsidR="008C039E">
        <w:t xml:space="preserve">causare </w:t>
      </w:r>
      <w:r w:rsidR="00D04BD3">
        <w:t>più morti inutili, difficilmente giustificabili eticamente.</w:t>
      </w:r>
    </w:p>
    <w:p w:rsidR="008C039E" w:rsidRDefault="008C039E" w:rsidP="00D04BD3"/>
    <w:p w:rsidR="008C039E" w:rsidRPr="00445EFE" w:rsidRDefault="008C039E" w:rsidP="008C039E">
      <w:pPr>
        <w:rPr>
          <w:b/>
        </w:rPr>
      </w:pPr>
      <w:r w:rsidRPr="00445EFE">
        <w:rPr>
          <w:b/>
        </w:rPr>
        <w:t>Rilevanza per l'India</w:t>
      </w:r>
    </w:p>
    <w:p w:rsidR="008C039E" w:rsidRDefault="008C039E" w:rsidP="008C039E">
      <w:r>
        <w:t xml:space="preserve">L'autorità </w:t>
      </w:r>
      <w:proofErr w:type="spellStart"/>
      <w:r>
        <w:t>regolatoria</w:t>
      </w:r>
      <w:proofErr w:type="spellEnd"/>
      <w:r>
        <w:t xml:space="preserve"> del governo dell'India è la </w:t>
      </w:r>
      <w:proofErr w:type="spellStart"/>
      <w:r>
        <w:t>Drug</w:t>
      </w:r>
      <w:proofErr w:type="spellEnd"/>
      <w:r>
        <w:t xml:space="preserve"> Controller General of India (DCGI). Secondo le regole del DCGI, i farmaci approvati in uno o più paesi, ad esempio Stati Uniti, Regno Unito, Canada, Giappone, Australia e paesi dell'Unione europea, vengono </w:t>
      </w:r>
      <w:r w:rsidR="00BB2F40">
        <w:t>approvati anche</w:t>
      </w:r>
      <w:r>
        <w:t xml:space="preserve"> in India (13). Sono necessari solo studi integrativi per la valutazione dell'impatto di fattori etnici sull'efficacia, sicurezza, dosaggio e regimi di dosaggio dei farmaci (14).</w:t>
      </w:r>
    </w:p>
    <w:p w:rsidR="008C039E" w:rsidRDefault="008C039E" w:rsidP="008C039E">
      <w:r>
        <w:t>Recentemente, studi che esaminano l'</w:t>
      </w:r>
      <w:proofErr w:type="spellStart"/>
      <w:r>
        <w:t>immunogenicità</w:t>
      </w:r>
      <w:proofErr w:type="spellEnd"/>
      <w:r>
        <w:t xml:space="preserve"> e la sicurezza del vaccino combinato esavalente in piccole sperimentazioni sono stati pubblicati </w:t>
      </w:r>
      <w:r w:rsidR="00445EFE">
        <w:t xml:space="preserve"> in </w:t>
      </w:r>
      <w:r>
        <w:t xml:space="preserve">India (15,16). Inoltre, </w:t>
      </w:r>
      <w:proofErr w:type="spellStart"/>
      <w:r w:rsidR="00445EFE" w:rsidRPr="00445EFE">
        <w:rPr>
          <w:i/>
        </w:rPr>
        <w:t>Indian</w:t>
      </w:r>
      <w:proofErr w:type="spellEnd"/>
      <w:r w:rsidR="00445EFE" w:rsidRPr="00445EFE">
        <w:rPr>
          <w:i/>
        </w:rPr>
        <w:t xml:space="preserve"> </w:t>
      </w:r>
      <w:proofErr w:type="spellStart"/>
      <w:r w:rsidR="00445EFE" w:rsidRPr="00445EFE">
        <w:rPr>
          <w:i/>
        </w:rPr>
        <w:t>Pediatrics</w:t>
      </w:r>
      <w:proofErr w:type="spellEnd"/>
      <w:r>
        <w:t xml:space="preserve"> ha pubblicato un editoriale</w:t>
      </w:r>
      <w:r w:rsidR="00445EFE">
        <w:t xml:space="preserve"> </w:t>
      </w:r>
      <w:r>
        <w:t>intitolato "vaccinaz</w:t>
      </w:r>
      <w:r w:rsidR="00445EFE">
        <w:t>ioni esavalenti: il futuro dell’</w:t>
      </w:r>
      <w:r>
        <w:t xml:space="preserve">immunizzazione </w:t>
      </w:r>
      <w:r w:rsidR="00445EFE">
        <w:t>di routine?</w:t>
      </w:r>
      <w:r>
        <w:t>"</w:t>
      </w:r>
      <w:r w:rsidR="00445EFE">
        <w:t xml:space="preserve"> </w:t>
      </w:r>
      <w:r>
        <w:t xml:space="preserve">(17), </w:t>
      </w:r>
      <w:r w:rsidR="00445EFE">
        <w:t>il quale</w:t>
      </w:r>
      <w:r>
        <w:t xml:space="preserve"> ha suggerito che </w:t>
      </w:r>
      <w:r w:rsidR="00445EFE">
        <w:t xml:space="preserve">questo vaccino combinato </w:t>
      </w:r>
      <w:r>
        <w:t xml:space="preserve"> </w:t>
      </w:r>
      <w:r w:rsidR="00445EFE">
        <w:t xml:space="preserve">sarebbe stato promosso in </w:t>
      </w:r>
      <w:r>
        <w:t xml:space="preserve">India. È fondamentale che l'autorità </w:t>
      </w:r>
      <w:proofErr w:type="spellStart"/>
      <w:r w:rsidR="00445EFE">
        <w:t>regolatoria</w:t>
      </w:r>
      <w:proofErr w:type="spellEnd"/>
      <w:r w:rsidR="00445EFE">
        <w:t xml:space="preserve"> </w:t>
      </w:r>
      <w:r>
        <w:t xml:space="preserve">in India </w:t>
      </w:r>
      <w:r w:rsidR="00445EFE">
        <w:t>sia</w:t>
      </w:r>
      <w:r>
        <w:t xml:space="preserve"> consapevole delle preoccupazioni sollevate</w:t>
      </w:r>
      <w:r w:rsidR="00445EFE">
        <w:t xml:space="preserve"> </w:t>
      </w:r>
      <w:r>
        <w:t>in questo commento sui rapporti PSUR</w:t>
      </w:r>
      <w:r w:rsidR="00445EFE">
        <w:t xml:space="preserve">, in particolare </w:t>
      </w:r>
      <w:r>
        <w:t>perché i sistemi di sorveglianza in India sono deboli.</w:t>
      </w:r>
    </w:p>
    <w:p w:rsidR="00445EFE" w:rsidRDefault="00445EFE" w:rsidP="008C039E"/>
    <w:p w:rsidR="00445EFE" w:rsidRPr="00445EFE" w:rsidRDefault="00445EFE" w:rsidP="00445EFE">
      <w:pPr>
        <w:rPr>
          <w:b/>
        </w:rPr>
      </w:pPr>
      <w:r w:rsidRPr="00445EFE">
        <w:rPr>
          <w:b/>
        </w:rPr>
        <w:t>Sommario e conclusione</w:t>
      </w:r>
    </w:p>
    <w:p w:rsidR="00445EFE" w:rsidRDefault="00445EFE" w:rsidP="00445EFE">
      <w:r>
        <w:t xml:space="preserve">Von </w:t>
      </w:r>
      <w:proofErr w:type="spellStart"/>
      <w:r>
        <w:t>Kries</w:t>
      </w:r>
      <w:proofErr w:type="spellEnd"/>
      <w:r>
        <w:t xml:space="preserve"> (1) riportò un aumento statisticamente significativo del SMR </w:t>
      </w:r>
      <w:r>
        <w:rPr>
          <w:rStyle w:val="Rimandonotaapidipagina"/>
        </w:rPr>
        <w:footnoteReference w:id="3"/>
      </w:r>
      <w:r>
        <w:t xml:space="preserve"> nei bambini nel loro secondo anno di vita, entro due giorni dalla vaccinazione con </w:t>
      </w:r>
      <w:proofErr w:type="spellStart"/>
      <w:r>
        <w:t>Hexavac</w:t>
      </w:r>
      <w:proofErr w:type="spellEnd"/>
      <w:r>
        <w:t>® (uno dei due vaccini esavalenti autorizzati, ora ritirato).</w:t>
      </w:r>
    </w:p>
    <w:p w:rsidR="00445EFE" w:rsidRDefault="00445EFE" w:rsidP="00445EFE">
      <w:r>
        <w:t xml:space="preserve">Nelle relazioni periodiche di aggiornamento sulla sicurezza, GSK, la società di produzione di </w:t>
      </w:r>
      <w:proofErr w:type="spellStart"/>
      <w:r>
        <w:t>Infanrix</w:t>
      </w:r>
      <w:proofErr w:type="spellEnd"/>
      <w:r>
        <w:t xml:space="preserve"> </w:t>
      </w:r>
      <w:proofErr w:type="spellStart"/>
      <w:r>
        <w:t>hexa</w:t>
      </w:r>
      <w:proofErr w:type="spellEnd"/>
      <w:r>
        <w:t>, valuta se il numero delle morti improvvise riportate dopo la vaccinazione con il loro farmaco, ha superato il numero che potrebbe essere previsto per caso. Il raggruppamento delle morti subito dopo l'immunizzazione suggerisce che la morte potrebbe essere stata causata dal vaccino.</w:t>
      </w:r>
    </w:p>
    <w:p w:rsidR="00445EFE" w:rsidRDefault="00445EFE" w:rsidP="00445EFE">
      <w:r>
        <w:t>Inoltre, la nostra analisi mostra che le morti riconosciute nel PSUR 16 sono state eliminate dal PSUR 19. Le morti osservate vengono segnalate spontaneamente al GSK e sono probabilmente sotto</w:t>
      </w:r>
      <w:r w:rsidR="001F6CE0">
        <w:t>stimate</w:t>
      </w:r>
      <w:r>
        <w:t>. Aggiungendo le morti</w:t>
      </w:r>
      <w:r w:rsidR="001F6CE0">
        <w:t xml:space="preserve"> </w:t>
      </w:r>
      <w:r>
        <w:t>cancellat</w:t>
      </w:r>
      <w:r w:rsidR="001F6CE0">
        <w:t>e dal PSUR 16, esiste un</w:t>
      </w:r>
      <w:r>
        <w:t xml:space="preserve"> </w:t>
      </w:r>
      <w:r w:rsidR="001F6CE0">
        <w:t xml:space="preserve">aumento del rischio di morte </w:t>
      </w:r>
      <w:r>
        <w:t>statistica</w:t>
      </w:r>
      <w:r w:rsidR="001F6CE0">
        <w:t>mente</w:t>
      </w:r>
      <w:r>
        <w:t xml:space="preserve"> significativa</w:t>
      </w:r>
      <w:r w:rsidR="001F6CE0">
        <w:t xml:space="preserve"> </w:t>
      </w:r>
      <w:r>
        <w:t>nei primi quattro giorni dopo la vaccinazione,</w:t>
      </w:r>
      <w:r w:rsidR="001F6CE0">
        <w:t xml:space="preserve"> </w:t>
      </w:r>
      <w:r>
        <w:t xml:space="preserve">rispetto alle morti </w:t>
      </w:r>
      <w:r w:rsidR="001F6CE0">
        <w:t>attese</w:t>
      </w:r>
      <w:r>
        <w:t xml:space="preserve">. I produttori </w:t>
      </w:r>
      <w:r w:rsidR="001F6CE0">
        <w:t>dovranno</w:t>
      </w:r>
      <w:r>
        <w:t xml:space="preserve"> spiegare perché queste morti non sono state incluse nel PSUR</w:t>
      </w:r>
      <w:r w:rsidR="001F6CE0">
        <w:t xml:space="preserve"> </w:t>
      </w:r>
      <w:r>
        <w:t>19. L'aumento del rischio di m</w:t>
      </w:r>
      <w:r w:rsidR="001F6CE0">
        <w:t>orte non è stato comunicato all’</w:t>
      </w:r>
      <w:r>
        <w:t xml:space="preserve">autorità </w:t>
      </w:r>
      <w:proofErr w:type="spellStart"/>
      <w:r>
        <w:t>regolatori</w:t>
      </w:r>
      <w:r w:rsidR="001F6CE0">
        <w:t>a</w:t>
      </w:r>
      <w:proofErr w:type="spellEnd"/>
      <w:r>
        <w:t xml:space="preserve"> o al personale sanitario che </w:t>
      </w:r>
      <w:r w:rsidR="001F6CE0">
        <w:t>so</w:t>
      </w:r>
      <w:r>
        <w:t>mministra</w:t>
      </w:r>
      <w:r w:rsidR="001F6CE0">
        <w:t xml:space="preserve"> </w:t>
      </w:r>
      <w:r>
        <w:t>questo vaccino.</w:t>
      </w:r>
    </w:p>
    <w:p w:rsidR="00445EFE" w:rsidRDefault="00445EFE" w:rsidP="00445EFE">
      <w:r>
        <w:t xml:space="preserve">Tenuto conto di quanto </w:t>
      </w:r>
      <w:r w:rsidR="001F6CE0">
        <w:t xml:space="preserve">detto </w:t>
      </w:r>
      <w:r>
        <w:t>sopr</w:t>
      </w:r>
      <w:r w:rsidR="001F6CE0">
        <w:t xml:space="preserve">a, è difficile capire come l'EMA possa aver </w:t>
      </w:r>
      <w:r>
        <w:t xml:space="preserve">accettato il PSUR 19 a </w:t>
      </w:r>
      <w:r w:rsidR="001F6CE0">
        <w:t>titolo</w:t>
      </w:r>
      <w:r>
        <w:t xml:space="preserve"> nominale. </w:t>
      </w:r>
      <w:r w:rsidR="001F6CE0">
        <w:t>Si p</w:t>
      </w:r>
      <w:r>
        <w:t>uò sosten</w:t>
      </w:r>
      <w:r w:rsidR="001F6CE0">
        <w:t>ere che</w:t>
      </w:r>
      <w:r>
        <w:t xml:space="preserve"> </w:t>
      </w:r>
      <w:r w:rsidR="001F6CE0">
        <w:t xml:space="preserve">non è stata esercitata la </w:t>
      </w:r>
      <w:r>
        <w:t>dovut</w:t>
      </w:r>
      <w:r w:rsidR="001F6CE0">
        <w:t xml:space="preserve">a </w:t>
      </w:r>
      <w:r>
        <w:t>diligenza, per cui numerosi</w:t>
      </w:r>
      <w:r w:rsidR="001F6CE0">
        <w:t xml:space="preserve"> </w:t>
      </w:r>
      <w:r>
        <w:t>bambini sono stati esposti inutilmente al rischio di morte.</w:t>
      </w:r>
    </w:p>
    <w:p w:rsidR="00445EFE" w:rsidRDefault="00445EFE" w:rsidP="00445EFE">
      <w:r>
        <w:t xml:space="preserve">Il DCGI deve essere </w:t>
      </w:r>
      <w:r w:rsidR="001F6CE0">
        <w:t>messo a conoscenza</w:t>
      </w:r>
      <w:r>
        <w:t xml:space="preserve"> </w:t>
      </w:r>
      <w:r w:rsidR="001F6CE0">
        <w:t>delle limitazioni presenti</w:t>
      </w:r>
      <w:r>
        <w:t xml:space="preserve"> nel PSUR</w:t>
      </w:r>
      <w:r w:rsidR="001F6CE0">
        <w:t xml:space="preserve"> di </w:t>
      </w:r>
      <w:proofErr w:type="spellStart"/>
      <w:r w:rsidR="001F6CE0">
        <w:t>Infanrix</w:t>
      </w:r>
      <w:proofErr w:type="spellEnd"/>
      <w:r w:rsidR="001F6CE0">
        <w:t xml:space="preserve"> </w:t>
      </w:r>
      <w:proofErr w:type="spellStart"/>
      <w:r w:rsidR="001F6CE0">
        <w:t>H</w:t>
      </w:r>
      <w:r>
        <w:t>exa</w:t>
      </w:r>
      <w:proofErr w:type="spellEnd"/>
      <w:r w:rsidR="001F6CE0">
        <w:t>.</w:t>
      </w:r>
    </w:p>
    <w:p w:rsidR="001F6CE0" w:rsidRDefault="001F6CE0" w:rsidP="00445EFE"/>
    <w:p w:rsidR="001F6CE0" w:rsidRPr="001F5BD6" w:rsidRDefault="001F6CE0" w:rsidP="001F6CE0">
      <w:pPr>
        <w:rPr>
          <w:i/>
        </w:rPr>
      </w:pPr>
      <w:r w:rsidRPr="001F5BD6">
        <w:rPr>
          <w:i/>
        </w:rPr>
        <w:t xml:space="preserve">* </w:t>
      </w:r>
      <w:r w:rsidRPr="001F5BD6">
        <w:rPr>
          <w:b/>
          <w:i/>
        </w:rPr>
        <w:t>Correzioni:</w:t>
      </w:r>
      <w:r w:rsidRPr="001F5BD6">
        <w:rPr>
          <w:i/>
        </w:rPr>
        <w:t xml:space="preserve"> Questo articolo è stato pubblicato online il 5 settembre 2017 e tolto dal sito web per le correzioni dagli autori il 6 settembre 2017. </w:t>
      </w:r>
    </w:p>
    <w:p w:rsidR="001F6CE0" w:rsidRPr="001F5BD6" w:rsidRDefault="001F6CE0" w:rsidP="001F6CE0">
      <w:pPr>
        <w:rPr>
          <w:i/>
        </w:rPr>
      </w:pPr>
      <w:r w:rsidRPr="001F5BD6">
        <w:rPr>
          <w:i/>
        </w:rPr>
        <w:t>Queste correzioni sono state:</w:t>
      </w:r>
    </w:p>
    <w:p w:rsidR="001F6CE0" w:rsidRPr="001F5BD6" w:rsidRDefault="001F6CE0" w:rsidP="001F6CE0">
      <w:pPr>
        <w:rPr>
          <w:i/>
        </w:rPr>
      </w:pPr>
      <w:r w:rsidRPr="001F5BD6">
        <w:rPr>
          <w:i/>
        </w:rPr>
        <w:t>1) Tabella 1, colonna 7: l'intera colonna è stata sostituita in quanto le cifre sono state prese dal d</w:t>
      </w:r>
      <w:r w:rsidR="001F5BD6" w:rsidRPr="001F5BD6">
        <w:rPr>
          <w:i/>
        </w:rPr>
        <w:t>ocumento sbagliato. Le c</w:t>
      </w:r>
      <w:r w:rsidRPr="001F5BD6">
        <w:rPr>
          <w:i/>
        </w:rPr>
        <w:t>orrispondent</w:t>
      </w:r>
      <w:r w:rsidR="001F5BD6" w:rsidRPr="001F5BD6">
        <w:rPr>
          <w:i/>
        </w:rPr>
        <w:t xml:space="preserve">i modifiche </w:t>
      </w:r>
      <w:r w:rsidRPr="001F5BD6">
        <w:rPr>
          <w:i/>
        </w:rPr>
        <w:t>sono state apportate nella colonna 1.</w:t>
      </w:r>
    </w:p>
    <w:p w:rsidR="001F6CE0" w:rsidRDefault="001F5BD6" w:rsidP="001F6CE0">
      <w:pPr>
        <w:rPr>
          <w:i/>
        </w:rPr>
      </w:pPr>
      <w:r w:rsidRPr="001F5BD6">
        <w:rPr>
          <w:i/>
        </w:rPr>
        <w:t xml:space="preserve">2) Nelle </w:t>
      </w:r>
      <w:r w:rsidR="001F6CE0" w:rsidRPr="001F5BD6">
        <w:rPr>
          <w:i/>
        </w:rPr>
        <w:t>pagine successive sono state effettuate correzioni</w:t>
      </w:r>
      <w:r w:rsidRPr="001F5BD6">
        <w:rPr>
          <w:i/>
        </w:rPr>
        <w:t xml:space="preserve"> </w:t>
      </w:r>
      <w:r w:rsidR="001F6CE0" w:rsidRPr="001F5BD6">
        <w:rPr>
          <w:i/>
        </w:rPr>
        <w:t xml:space="preserve">a due numeri, </w:t>
      </w:r>
      <w:r w:rsidRPr="001F5BD6">
        <w:rPr>
          <w:i/>
        </w:rPr>
        <w:t>titoli</w:t>
      </w:r>
      <w:r w:rsidR="001F6CE0" w:rsidRPr="001F5BD6">
        <w:rPr>
          <w:i/>
        </w:rPr>
        <w:t xml:space="preserve"> di colonna in entrambe le tabelle 2 e 3 e</w:t>
      </w:r>
      <w:r w:rsidRPr="001F5BD6">
        <w:rPr>
          <w:i/>
        </w:rPr>
        <w:t xml:space="preserve"> i r</w:t>
      </w:r>
      <w:r w:rsidR="001F6CE0" w:rsidRPr="001F5BD6">
        <w:rPr>
          <w:i/>
        </w:rPr>
        <w:t xml:space="preserve">iferimenti </w:t>
      </w:r>
      <w:r w:rsidRPr="001F5BD6">
        <w:rPr>
          <w:i/>
        </w:rPr>
        <w:t xml:space="preserve">bibliografici </w:t>
      </w:r>
      <w:r w:rsidR="001F6CE0" w:rsidRPr="001F5BD6">
        <w:rPr>
          <w:i/>
        </w:rPr>
        <w:t>da 8 a 14 che sono stati nuovamente numerati.</w:t>
      </w:r>
    </w:p>
    <w:p w:rsidR="000677AA" w:rsidRDefault="000677AA" w:rsidP="001F6CE0">
      <w:pPr>
        <w:rPr>
          <w:i/>
        </w:rPr>
      </w:pPr>
    </w:p>
    <w:p w:rsidR="001F5BD6" w:rsidRDefault="001F5BD6" w:rsidP="001F6CE0">
      <w:pPr>
        <w:rPr>
          <w:i/>
        </w:rPr>
      </w:pPr>
    </w:p>
    <w:p w:rsidR="001F5BD6" w:rsidRDefault="000677AA" w:rsidP="001F5BD6">
      <w:pPr>
        <w:autoSpaceDE w:val="0"/>
        <w:autoSpaceDN w:val="0"/>
        <w:adjustRightInd w:val="0"/>
        <w:jc w:val="left"/>
        <w:rPr>
          <w:rFonts w:cs="Arial"/>
          <w:b/>
          <w:bCs/>
          <w:color w:val="000000"/>
          <w:lang w:val="en-US"/>
        </w:rPr>
      </w:pPr>
      <w:proofErr w:type="spellStart"/>
      <w:r>
        <w:rPr>
          <w:rFonts w:cs="Arial"/>
          <w:b/>
          <w:bCs/>
          <w:color w:val="000000"/>
          <w:lang w:val="en-US"/>
        </w:rPr>
        <w:lastRenderedPageBreak/>
        <w:t>Bibiografia</w:t>
      </w:r>
      <w:proofErr w:type="spellEnd"/>
    </w:p>
    <w:p w:rsidR="000677AA" w:rsidRPr="001F5BD6" w:rsidRDefault="000677AA" w:rsidP="001F5BD6">
      <w:pPr>
        <w:autoSpaceDE w:val="0"/>
        <w:autoSpaceDN w:val="0"/>
        <w:adjustRightInd w:val="0"/>
        <w:jc w:val="left"/>
        <w:rPr>
          <w:rFonts w:cs="Arial"/>
          <w:b/>
          <w:bCs/>
          <w:color w:val="000000"/>
          <w:lang w:val="en-US"/>
        </w:rPr>
      </w:pPr>
    </w:p>
    <w:p w:rsidR="001F5BD6" w:rsidRPr="001F5BD6" w:rsidRDefault="001F5BD6" w:rsidP="001F5BD6">
      <w:pPr>
        <w:autoSpaceDE w:val="0"/>
        <w:autoSpaceDN w:val="0"/>
        <w:adjustRightInd w:val="0"/>
        <w:spacing w:after="120"/>
        <w:rPr>
          <w:rFonts w:cs="Times New Roman"/>
          <w:lang w:val="en-US"/>
        </w:rPr>
      </w:pPr>
      <w:r w:rsidRPr="001F5BD6">
        <w:rPr>
          <w:rFonts w:cs="Times New Roman"/>
          <w:color w:val="000000"/>
          <w:lang w:val="en-US"/>
        </w:rPr>
        <w:t xml:space="preserve">1. von </w:t>
      </w:r>
      <w:proofErr w:type="spellStart"/>
      <w:r w:rsidRPr="001F5BD6">
        <w:rPr>
          <w:rFonts w:cs="Times New Roman"/>
          <w:color w:val="000000"/>
          <w:lang w:val="en-US"/>
        </w:rPr>
        <w:t>Kries</w:t>
      </w:r>
      <w:proofErr w:type="spellEnd"/>
      <w:r w:rsidRPr="001F5BD6">
        <w:rPr>
          <w:rFonts w:cs="Times New Roman"/>
          <w:color w:val="000000"/>
          <w:lang w:val="en-US"/>
        </w:rPr>
        <w:t xml:space="preserve"> R, </w:t>
      </w:r>
      <w:proofErr w:type="spellStart"/>
      <w:r w:rsidRPr="001F5BD6">
        <w:rPr>
          <w:rFonts w:cs="Times New Roman"/>
          <w:color w:val="000000"/>
          <w:lang w:val="en-US"/>
        </w:rPr>
        <w:t>Toschke</w:t>
      </w:r>
      <w:proofErr w:type="spellEnd"/>
      <w:r w:rsidRPr="001F5BD6">
        <w:rPr>
          <w:rFonts w:cs="Times New Roman"/>
          <w:color w:val="000000"/>
          <w:lang w:val="en-US"/>
        </w:rPr>
        <w:t xml:space="preserve"> AM, </w:t>
      </w:r>
      <w:proofErr w:type="spellStart"/>
      <w:r w:rsidRPr="001F5BD6">
        <w:rPr>
          <w:rFonts w:cs="Times New Roman"/>
          <w:color w:val="000000"/>
          <w:lang w:val="en-US"/>
        </w:rPr>
        <w:t>Strassburger</w:t>
      </w:r>
      <w:proofErr w:type="spellEnd"/>
      <w:r w:rsidRPr="001F5BD6">
        <w:rPr>
          <w:rFonts w:cs="Times New Roman"/>
          <w:color w:val="000000"/>
          <w:lang w:val="en-US"/>
        </w:rPr>
        <w:t xml:space="preserve"> K, </w:t>
      </w:r>
      <w:proofErr w:type="spellStart"/>
      <w:r w:rsidRPr="001F5BD6">
        <w:rPr>
          <w:rFonts w:cs="Times New Roman"/>
          <w:color w:val="000000"/>
          <w:lang w:val="en-US"/>
        </w:rPr>
        <w:t>Kundi</w:t>
      </w:r>
      <w:proofErr w:type="spellEnd"/>
      <w:r w:rsidRPr="001F5BD6">
        <w:rPr>
          <w:rFonts w:cs="Times New Roman"/>
          <w:color w:val="000000"/>
          <w:lang w:val="en-US"/>
        </w:rPr>
        <w:t xml:space="preserve"> M, </w:t>
      </w:r>
      <w:proofErr w:type="spellStart"/>
      <w:r w:rsidRPr="001F5BD6">
        <w:rPr>
          <w:rFonts w:cs="Times New Roman"/>
          <w:color w:val="000000"/>
          <w:lang w:val="en-US"/>
        </w:rPr>
        <w:t>Kalies</w:t>
      </w:r>
      <w:proofErr w:type="spellEnd"/>
      <w:r w:rsidRPr="001F5BD6">
        <w:rPr>
          <w:rFonts w:cs="Times New Roman"/>
          <w:color w:val="000000"/>
          <w:lang w:val="en-US"/>
        </w:rPr>
        <w:t xml:space="preserve"> H, </w:t>
      </w:r>
      <w:proofErr w:type="spellStart"/>
      <w:r w:rsidRPr="001F5BD6">
        <w:rPr>
          <w:rFonts w:cs="Times New Roman"/>
          <w:color w:val="000000"/>
          <w:lang w:val="en-US"/>
        </w:rPr>
        <w:t>Nennstiel</w:t>
      </w:r>
      <w:proofErr w:type="spellEnd"/>
      <w:r w:rsidRPr="001F5BD6">
        <w:rPr>
          <w:rFonts w:cs="Times New Roman"/>
          <w:color w:val="000000"/>
          <w:lang w:val="en-US"/>
        </w:rPr>
        <w:t xml:space="preserve"> U, </w:t>
      </w:r>
      <w:proofErr w:type="spellStart"/>
      <w:r w:rsidRPr="001F5BD6">
        <w:rPr>
          <w:rFonts w:cs="Times New Roman"/>
          <w:color w:val="000000"/>
          <w:lang w:val="en-US"/>
        </w:rPr>
        <w:t>Jorch</w:t>
      </w:r>
      <w:proofErr w:type="spellEnd"/>
      <w:r w:rsidRPr="001F5BD6">
        <w:rPr>
          <w:rFonts w:cs="Times New Roman"/>
          <w:color w:val="000000"/>
          <w:lang w:val="en-US"/>
        </w:rPr>
        <w:t xml:space="preserve"> G, </w:t>
      </w:r>
      <w:proofErr w:type="spellStart"/>
      <w:r w:rsidRPr="001F5BD6">
        <w:rPr>
          <w:rFonts w:cs="Times New Roman"/>
          <w:color w:val="000000"/>
          <w:lang w:val="en-US"/>
        </w:rPr>
        <w:t>Rosenbauer</w:t>
      </w:r>
      <w:proofErr w:type="spellEnd"/>
      <w:r w:rsidRPr="001F5BD6">
        <w:rPr>
          <w:rFonts w:cs="Times New Roman"/>
          <w:color w:val="000000"/>
          <w:lang w:val="en-US"/>
        </w:rPr>
        <w:t xml:space="preserve"> J, </w:t>
      </w:r>
      <w:proofErr w:type="spellStart"/>
      <w:r w:rsidRPr="001F5BD6">
        <w:rPr>
          <w:rFonts w:cs="Times New Roman"/>
          <w:color w:val="000000"/>
          <w:lang w:val="en-US"/>
        </w:rPr>
        <w:t>Giani</w:t>
      </w:r>
      <w:proofErr w:type="spellEnd"/>
      <w:r w:rsidRPr="001F5BD6">
        <w:rPr>
          <w:rFonts w:cs="Times New Roman"/>
          <w:color w:val="000000"/>
          <w:lang w:val="en-US"/>
        </w:rPr>
        <w:t xml:space="preserve"> G. Sudden and unexpected deaths</w:t>
      </w:r>
      <w:r>
        <w:rPr>
          <w:rFonts w:cs="Times New Roman"/>
          <w:color w:val="000000"/>
          <w:lang w:val="en-US"/>
        </w:rPr>
        <w:t xml:space="preserve"> </w:t>
      </w:r>
      <w:r w:rsidRPr="001F5BD6">
        <w:rPr>
          <w:rFonts w:cs="Times New Roman"/>
          <w:color w:val="000000"/>
          <w:lang w:val="en-US"/>
        </w:rPr>
        <w:t>after the administration of hexavalent vaccines (diphtheria, tetanus,</w:t>
      </w:r>
      <w:r>
        <w:rPr>
          <w:rFonts w:cs="Times New Roman"/>
          <w:color w:val="000000"/>
          <w:lang w:val="en-US"/>
        </w:rPr>
        <w:t xml:space="preserve"> </w:t>
      </w:r>
      <w:r w:rsidRPr="001F5BD6">
        <w:rPr>
          <w:rFonts w:cs="Times New Roman"/>
          <w:color w:val="000000"/>
          <w:lang w:val="en-US"/>
        </w:rPr>
        <w:t xml:space="preserve">pertussis, poliomyelitis, hepatitis B, </w:t>
      </w:r>
      <w:proofErr w:type="spellStart"/>
      <w:r w:rsidRPr="001F5BD6">
        <w:rPr>
          <w:rFonts w:cs="Times New Roman"/>
          <w:color w:val="000000"/>
          <w:lang w:val="en-US"/>
        </w:rPr>
        <w:t>Haemophilus</w:t>
      </w:r>
      <w:proofErr w:type="spellEnd"/>
      <w:r w:rsidRPr="001F5BD6">
        <w:rPr>
          <w:rFonts w:cs="Times New Roman"/>
          <w:color w:val="000000"/>
          <w:lang w:val="en-US"/>
        </w:rPr>
        <w:t xml:space="preserve"> </w:t>
      </w:r>
      <w:proofErr w:type="spellStart"/>
      <w:r w:rsidRPr="001F5BD6">
        <w:rPr>
          <w:rFonts w:cs="Times New Roman"/>
          <w:color w:val="000000"/>
          <w:lang w:val="en-US"/>
        </w:rPr>
        <w:t>influenzae</w:t>
      </w:r>
      <w:proofErr w:type="spellEnd"/>
      <w:r w:rsidRPr="001F5BD6">
        <w:rPr>
          <w:rFonts w:cs="Times New Roman"/>
          <w:color w:val="000000"/>
          <w:lang w:val="en-US"/>
        </w:rPr>
        <w:t xml:space="preserve"> type b): is</w:t>
      </w:r>
      <w:r>
        <w:rPr>
          <w:rFonts w:cs="Times New Roman"/>
          <w:color w:val="000000"/>
          <w:lang w:val="en-US"/>
        </w:rPr>
        <w:t xml:space="preserve"> </w:t>
      </w:r>
      <w:r w:rsidRPr="001F5BD6">
        <w:rPr>
          <w:rFonts w:cs="Times New Roman"/>
          <w:color w:val="000000"/>
          <w:lang w:val="en-US"/>
        </w:rPr>
        <w:t xml:space="preserve">there a signal? </w:t>
      </w:r>
      <w:proofErr w:type="spellStart"/>
      <w:r w:rsidRPr="001F5BD6">
        <w:rPr>
          <w:rFonts w:cs="Arial"/>
          <w:i/>
          <w:iCs/>
          <w:color w:val="000000"/>
          <w:lang w:val="en-US"/>
        </w:rPr>
        <w:t>Eur</w:t>
      </w:r>
      <w:proofErr w:type="spellEnd"/>
      <w:r w:rsidRPr="001F5BD6">
        <w:rPr>
          <w:rFonts w:cs="Arial"/>
          <w:i/>
          <w:iCs/>
          <w:color w:val="000000"/>
          <w:lang w:val="en-US"/>
        </w:rPr>
        <w:t xml:space="preserve"> J </w:t>
      </w:r>
      <w:proofErr w:type="spellStart"/>
      <w:r w:rsidRPr="001F5BD6">
        <w:rPr>
          <w:rFonts w:cs="Arial"/>
          <w:i/>
          <w:iCs/>
          <w:color w:val="000000"/>
          <w:lang w:val="en-US"/>
        </w:rPr>
        <w:t>Pediatr</w:t>
      </w:r>
      <w:proofErr w:type="spellEnd"/>
      <w:r w:rsidRPr="001F5BD6">
        <w:rPr>
          <w:rFonts w:cs="Arial"/>
          <w:i/>
          <w:iCs/>
          <w:color w:val="000000"/>
          <w:lang w:val="en-US"/>
        </w:rPr>
        <w:t xml:space="preserve">. </w:t>
      </w:r>
      <w:r w:rsidRPr="001F5BD6">
        <w:rPr>
          <w:rFonts w:cs="Times New Roman"/>
          <w:color w:val="000000"/>
          <w:lang w:val="en-US"/>
        </w:rPr>
        <w:t xml:space="preserve">2005 Feb;164(2):61–9. </w:t>
      </w:r>
      <w:proofErr w:type="spellStart"/>
      <w:r w:rsidRPr="001F5BD6">
        <w:rPr>
          <w:rFonts w:cs="Times New Roman"/>
          <w:color w:val="000000"/>
          <w:lang w:val="en-US"/>
        </w:rPr>
        <w:t>Epub</w:t>
      </w:r>
      <w:proofErr w:type="spellEnd"/>
      <w:r w:rsidRPr="001F5BD6">
        <w:rPr>
          <w:rFonts w:cs="Times New Roman"/>
          <w:color w:val="000000"/>
          <w:lang w:val="en-US"/>
        </w:rPr>
        <w:t xml:space="preserve"> 2004 Dec 16.</w:t>
      </w:r>
    </w:p>
    <w:p w:rsidR="001F5BD6" w:rsidRPr="001F5BD6" w:rsidRDefault="001F5BD6" w:rsidP="001F5BD6">
      <w:pPr>
        <w:autoSpaceDE w:val="0"/>
        <w:autoSpaceDN w:val="0"/>
        <w:adjustRightInd w:val="0"/>
        <w:spacing w:after="120"/>
        <w:rPr>
          <w:rFonts w:cs="Times New Roman"/>
          <w:lang w:val="en-US"/>
        </w:rPr>
      </w:pPr>
      <w:r w:rsidRPr="001F5BD6">
        <w:rPr>
          <w:rFonts w:cs="Times New Roman"/>
          <w:color w:val="000000"/>
          <w:lang w:val="en-US"/>
        </w:rPr>
        <w:t>2. European Medicines Agency (EMEA). Press Release. EMEA recommends</w:t>
      </w:r>
      <w:r>
        <w:rPr>
          <w:rFonts w:cs="Times New Roman"/>
          <w:color w:val="000000"/>
          <w:lang w:val="en-US"/>
        </w:rPr>
        <w:t xml:space="preserve"> </w:t>
      </w:r>
      <w:r w:rsidRPr="001F5BD6">
        <w:rPr>
          <w:rFonts w:cs="Times New Roman"/>
          <w:color w:val="000000"/>
          <w:lang w:val="en-US"/>
        </w:rPr>
        <w:t xml:space="preserve">suspension of </w:t>
      </w:r>
      <w:proofErr w:type="spellStart"/>
      <w:r w:rsidRPr="001F5BD6">
        <w:rPr>
          <w:rFonts w:cs="Times New Roman"/>
          <w:color w:val="000000"/>
          <w:lang w:val="en-US"/>
        </w:rPr>
        <w:t>Hexavac</w:t>
      </w:r>
      <w:proofErr w:type="spellEnd"/>
      <w:r w:rsidRPr="001F5BD6">
        <w:rPr>
          <w:rFonts w:cs="Times New Roman"/>
          <w:color w:val="000000"/>
          <w:lang w:val="en-US"/>
        </w:rPr>
        <w:t>. London, September 20, 2005. Doc. Ref.</w:t>
      </w:r>
      <w:r>
        <w:rPr>
          <w:rFonts w:cs="Times New Roman"/>
          <w:color w:val="000000"/>
          <w:lang w:val="en-US"/>
        </w:rPr>
        <w:t xml:space="preserve"> </w:t>
      </w:r>
      <w:r w:rsidRPr="001F5BD6">
        <w:rPr>
          <w:rFonts w:cs="Times New Roman"/>
          <w:color w:val="000000"/>
          <w:lang w:val="en-US"/>
        </w:rPr>
        <w:t>EMEA/297369/2005 [cited 2017 May 12]. Available from: https://</w:t>
      </w:r>
      <w:r>
        <w:rPr>
          <w:rFonts w:cs="Times New Roman"/>
          <w:color w:val="000000"/>
          <w:lang w:val="en-US"/>
        </w:rPr>
        <w:t xml:space="preserve"> </w:t>
      </w:r>
      <w:r w:rsidRPr="001F5BD6">
        <w:rPr>
          <w:rFonts w:cs="Times New Roman"/>
          <w:color w:val="000000"/>
          <w:lang w:val="en-US"/>
        </w:rPr>
        <w:t>lakemedelsverket.se/upload/</w:t>
      </w:r>
      <w:proofErr w:type="spellStart"/>
      <w:r w:rsidRPr="001F5BD6">
        <w:rPr>
          <w:rFonts w:cs="Times New Roman"/>
          <w:color w:val="000000"/>
          <w:lang w:val="en-US"/>
        </w:rPr>
        <w:t>nyheter</w:t>
      </w:r>
      <w:proofErr w:type="spellEnd"/>
      <w:r w:rsidRPr="001F5BD6">
        <w:rPr>
          <w:rFonts w:cs="Times New Roman"/>
          <w:color w:val="000000"/>
          <w:lang w:val="en-US"/>
        </w:rPr>
        <w:t>/2005/PressmedEMEA%5B1%5D.pdf</w:t>
      </w:r>
    </w:p>
    <w:p w:rsidR="001F5BD6" w:rsidRPr="000677AA" w:rsidRDefault="001F5BD6" w:rsidP="001F5BD6">
      <w:pPr>
        <w:autoSpaceDE w:val="0"/>
        <w:autoSpaceDN w:val="0"/>
        <w:adjustRightInd w:val="0"/>
        <w:spacing w:after="120"/>
        <w:rPr>
          <w:rFonts w:cs="Times New Roman"/>
          <w:lang w:val="en-US"/>
        </w:rPr>
      </w:pPr>
      <w:r w:rsidRPr="001F5BD6">
        <w:rPr>
          <w:rFonts w:cs="Times New Roman"/>
          <w:color w:val="000000"/>
          <w:lang w:val="en-US"/>
        </w:rPr>
        <w:t>3. Directive 2001/83/EC of the European Parliament and of the Council</w:t>
      </w:r>
      <w:r>
        <w:rPr>
          <w:rFonts w:cs="Times New Roman"/>
          <w:color w:val="000000"/>
          <w:lang w:val="en-US"/>
        </w:rPr>
        <w:t xml:space="preserve"> </w:t>
      </w:r>
      <w:r w:rsidRPr="001F5BD6">
        <w:rPr>
          <w:rFonts w:cs="Times New Roman"/>
          <w:color w:val="000000"/>
          <w:lang w:val="en-US"/>
        </w:rPr>
        <w:t>of November 6, 2001 on the community code relating to medicinal</w:t>
      </w:r>
      <w:r>
        <w:rPr>
          <w:rFonts w:cs="Times New Roman"/>
          <w:color w:val="000000"/>
          <w:lang w:val="en-US"/>
        </w:rPr>
        <w:t xml:space="preserve"> </w:t>
      </w:r>
      <w:r w:rsidRPr="001F5BD6">
        <w:rPr>
          <w:rFonts w:cs="Times New Roman"/>
          <w:color w:val="000000"/>
          <w:lang w:val="en-US"/>
        </w:rPr>
        <w:t xml:space="preserve">products for human use. Official Journal L–311, 28/11/2004, p. 67–128 [cited 2017 May 3]. Available from:  </w:t>
      </w:r>
      <w:hyperlink r:id="rId12" w:history="1">
        <w:r w:rsidRPr="000677AA">
          <w:rPr>
            <w:rStyle w:val="Collegamentoipertestuale"/>
            <w:rFonts w:cs="Times New Roman"/>
            <w:color w:val="auto"/>
            <w:u w:val="none"/>
            <w:lang w:val="en-US"/>
          </w:rPr>
          <w:t>http://www.ema.europa</w:t>
        </w:r>
      </w:hyperlink>
      <w:r w:rsidRPr="000677AA">
        <w:rPr>
          <w:rFonts w:cs="Times New Roman"/>
          <w:lang w:val="en-US"/>
        </w:rPr>
        <w:t>. eu/docs/en_GB/document_library/Regulatory_and_procedural_guideline/2009/10/WC500004481.pdf</w:t>
      </w:r>
    </w:p>
    <w:p w:rsidR="001F5BD6" w:rsidRPr="000677AA" w:rsidRDefault="001F5BD6" w:rsidP="001F5BD6">
      <w:pPr>
        <w:autoSpaceDE w:val="0"/>
        <w:autoSpaceDN w:val="0"/>
        <w:adjustRightInd w:val="0"/>
        <w:rPr>
          <w:rFonts w:cs="Times New Roman"/>
          <w:lang w:val="en-US"/>
        </w:rPr>
      </w:pPr>
      <w:r w:rsidRPr="000677AA">
        <w:rPr>
          <w:rFonts w:cs="Times New Roman"/>
          <w:lang w:val="en-US"/>
        </w:rPr>
        <w:t xml:space="preserve">4. GlaxoSmithKline Biological clinical safety and pharmacovigilance’s confidential report to the EMA: PSUR 15 and PSUR 16 [cited 2017 Aug 1]. </w:t>
      </w:r>
    </w:p>
    <w:p w:rsidR="001F5BD6" w:rsidRPr="000677AA" w:rsidRDefault="001F5BD6" w:rsidP="001F5BD6">
      <w:pPr>
        <w:autoSpaceDE w:val="0"/>
        <w:autoSpaceDN w:val="0"/>
        <w:adjustRightInd w:val="0"/>
        <w:rPr>
          <w:rFonts w:cs="Times New Roman"/>
          <w:lang w:val="en-US"/>
        </w:rPr>
      </w:pPr>
      <w:r w:rsidRPr="000677AA">
        <w:rPr>
          <w:rFonts w:cs="Times New Roman"/>
          <w:lang w:val="en-US"/>
        </w:rPr>
        <w:t>Available from:http://autismoevaccini.files.wordpress.com/2012/12/vaccin-dc3a9cc3a8s.pdf</w:t>
      </w:r>
    </w:p>
    <w:p w:rsidR="001F5BD6" w:rsidRPr="000677AA" w:rsidRDefault="001F5BD6" w:rsidP="001F5BD6">
      <w:pPr>
        <w:autoSpaceDE w:val="0"/>
        <w:autoSpaceDN w:val="0"/>
        <w:adjustRightInd w:val="0"/>
        <w:spacing w:before="120" w:after="120"/>
        <w:rPr>
          <w:rFonts w:cs="Times New Roman"/>
          <w:lang w:val="en-US"/>
        </w:rPr>
      </w:pPr>
      <w:r w:rsidRPr="000677AA">
        <w:rPr>
          <w:rFonts w:cs="Times New Roman"/>
          <w:lang w:val="en-US"/>
        </w:rPr>
        <w:t>5. GlaxoSmithKline Biological clinical safety and pharmacovigilance’s confidential report to the EMA: PSUR 19 [cited 2017 Aug 1]. Available from: http://ijme.in/wp-content/uploads/2017/09/infanrix-pusr.pdf</w:t>
      </w:r>
    </w:p>
    <w:p w:rsidR="001F5BD6" w:rsidRPr="000677AA" w:rsidRDefault="001F5BD6" w:rsidP="001F5BD6">
      <w:pPr>
        <w:autoSpaceDE w:val="0"/>
        <w:autoSpaceDN w:val="0"/>
        <w:adjustRightInd w:val="0"/>
        <w:spacing w:after="120"/>
        <w:rPr>
          <w:rFonts w:cs="Times New Roman"/>
          <w:lang w:val="en-US"/>
        </w:rPr>
      </w:pPr>
      <w:r w:rsidRPr="000677AA">
        <w:rPr>
          <w:rFonts w:cs="Times New Roman"/>
          <w:lang w:val="en-US"/>
        </w:rPr>
        <w:t xml:space="preserve">6. </w:t>
      </w:r>
      <w:proofErr w:type="spellStart"/>
      <w:r w:rsidRPr="000677AA">
        <w:rPr>
          <w:rFonts w:cs="Times New Roman"/>
          <w:lang w:val="en-US"/>
        </w:rPr>
        <w:t>Puliyel</w:t>
      </w:r>
      <w:proofErr w:type="spellEnd"/>
      <w:r w:rsidRPr="000677AA">
        <w:rPr>
          <w:rFonts w:cs="Times New Roman"/>
          <w:lang w:val="en-US"/>
        </w:rPr>
        <w:t xml:space="preserve"> J. PubMed Commons comment on </w:t>
      </w:r>
      <w:proofErr w:type="spellStart"/>
      <w:r w:rsidRPr="000677AA">
        <w:rPr>
          <w:rFonts w:cs="Times New Roman"/>
          <w:lang w:val="en-US"/>
        </w:rPr>
        <w:t>Baldo</w:t>
      </w:r>
      <w:proofErr w:type="spellEnd"/>
      <w:r w:rsidRPr="000677AA">
        <w:rPr>
          <w:rFonts w:cs="Times New Roman"/>
          <w:lang w:val="en-US"/>
        </w:rPr>
        <w:t xml:space="preserve"> V, </w:t>
      </w:r>
      <w:proofErr w:type="spellStart"/>
      <w:r w:rsidRPr="000677AA">
        <w:rPr>
          <w:rFonts w:cs="Times New Roman"/>
          <w:lang w:val="en-US"/>
        </w:rPr>
        <w:t>Bonanni</w:t>
      </w:r>
      <w:proofErr w:type="spellEnd"/>
      <w:r w:rsidRPr="000677AA">
        <w:rPr>
          <w:rFonts w:cs="Times New Roman"/>
          <w:lang w:val="en-US"/>
        </w:rPr>
        <w:t xml:space="preserve"> P, Castro M, </w:t>
      </w:r>
      <w:proofErr w:type="spellStart"/>
      <w:r w:rsidRPr="000677AA">
        <w:rPr>
          <w:rFonts w:cs="Times New Roman"/>
          <w:lang w:val="en-US"/>
        </w:rPr>
        <w:t>Gabutti</w:t>
      </w:r>
      <w:proofErr w:type="spellEnd"/>
      <w:r w:rsidRPr="000677AA">
        <w:rPr>
          <w:rFonts w:cs="Times New Roman"/>
          <w:lang w:val="en-US"/>
        </w:rPr>
        <w:t xml:space="preserve"> G, Franco E, </w:t>
      </w:r>
      <w:proofErr w:type="spellStart"/>
      <w:r w:rsidRPr="000677AA">
        <w:rPr>
          <w:rFonts w:cs="Times New Roman"/>
          <w:lang w:val="en-US"/>
        </w:rPr>
        <w:t>Marchetti</w:t>
      </w:r>
      <w:proofErr w:type="spellEnd"/>
      <w:r w:rsidRPr="000677AA">
        <w:rPr>
          <w:rFonts w:cs="Times New Roman"/>
          <w:lang w:val="en-US"/>
        </w:rPr>
        <w:t xml:space="preserve"> F, Prato R, Vitale F. Combined hexavalent diphtheria-tetanus-acellular pertussis-hepatitis B-inactivated poliovirus-</w:t>
      </w:r>
      <w:proofErr w:type="spellStart"/>
      <w:r w:rsidRPr="000677AA">
        <w:rPr>
          <w:rFonts w:cs="Times New Roman"/>
          <w:lang w:val="en-US"/>
        </w:rPr>
        <w:t>Haemophilus</w:t>
      </w:r>
      <w:proofErr w:type="spellEnd"/>
      <w:r w:rsidRPr="000677AA">
        <w:rPr>
          <w:rFonts w:cs="Times New Roman"/>
          <w:lang w:val="en-US"/>
        </w:rPr>
        <w:t xml:space="preserve"> </w:t>
      </w:r>
      <w:proofErr w:type="spellStart"/>
      <w:r w:rsidRPr="000677AA">
        <w:rPr>
          <w:rFonts w:cs="Times New Roman"/>
          <w:lang w:val="en-US"/>
        </w:rPr>
        <w:t>influenzae</w:t>
      </w:r>
      <w:proofErr w:type="spellEnd"/>
      <w:r w:rsidRPr="000677AA">
        <w:rPr>
          <w:rFonts w:cs="Times New Roman"/>
          <w:lang w:val="en-US"/>
        </w:rPr>
        <w:t xml:space="preserve"> type B vaccine; </w:t>
      </w:r>
      <w:proofErr w:type="spellStart"/>
      <w:r w:rsidRPr="000677AA">
        <w:rPr>
          <w:rFonts w:cs="Times New Roman"/>
          <w:lang w:val="en-US"/>
        </w:rPr>
        <w:t>Infanrix</w:t>
      </w:r>
      <w:proofErr w:type="spellEnd"/>
      <w:r w:rsidRPr="000677AA">
        <w:rPr>
          <w:rFonts w:cs="Times New Roman"/>
          <w:lang w:val="en-US"/>
        </w:rPr>
        <w:t xml:space="preserve">™ </w:t>
      </w:r>
      <w:proofErr w:type="spellStart"/>
      <w:r w:rsidRPr="000677AA">
        <w:rPr>
          <w:rFonts w:cs="Times New Roman"/>
          <w:lang w:val="en-US"/>
        </w:rPr>
        <w:t>hexa</w:t>
      </w:r>
      <w:proofErr w:type="spellEnd"/>
      <w:r w:rsidRPr="000677AA">
        <w:rPr>
          <w:rFonts w:cs="Times New Roman"/>
          <w:lang w:val="en-US"/>
        </w:rPr>
        <w:t xml:space="preserve">: twelve years of experience in Italy. </w:t>
      </w:r>
      <w:r w:rsidRPr="000677AA">
        <w:rPr>
          <w:rFonts w:cs="Arial"/>
          <w:i/>
          <w:iCs/>
          <w:lang w:val="en-US"/>
        </w:rPr>
        <w:t xml:space="preserve">Hum </w:t>
      </w:r>
      <w:proofErr w:type="spellStart"/>
      <w:r w:rsidRPr="000677AA">
        <w:rPr>
          <w:rFonts w:cs="Arial"/>
          <w:i/>
          <w:iCs/>
          <w:lang w:val="en-US"/>
        </w:rPr>
        <w:t>Vaccin</w:t>
      </w:r>
      <w:proofErr w:type="spellEnd"/>
      <w:r w:rsidRPr="000677AA">
        <w:rPr>
          <w:rFonts w:cs="Arial"/>
          <w:i/>
          <w:iCs/>
          <w:lang w:val="en-US"/>
        </w:rPr>
        <w:t xml:space="preserve"> </w:t>
      </w:r>
      <w:proofErr w:type="spellStart"/>
      <w:r w:rsidRPr="000677AA">
        <w:rPr>
          <w:rFonts w:cs="Arial"/>
          <w:i/>
          <w:iCs/>
          <w:lang w:val="en-US"/>
        </w:rPr>
        <w:t>Immunother</w:t>
      </w:r>
      <w:proofErr w:type="spellEnd"/>
      <w:r w:rsidRPr="000677AA">
        <w:rPr>
          <w:rFonts w:cs="Arial"/>
          <w:i/>
          <w:iCs/>
          <w:lang w:val="en-US"/>
        </w:rPr>
        <w:t xml:space="preserve">. </w:t>
      </w:r>
      <w:r w:rsidRPr="000677AA">
        <w:rPr>
          <w:rFonts w:cs="Times New Roman"/>
          <w:lang w:val="en-US"/>
        </w:rPr>
        <w:t xml:space="preserve">2014 [cited 2017 Aug 1];10(1):129–37. </w:t>
      </w:r>
      <w:proofErr w:type="spellStart"/>
      <w:r w:rsidRPr="000677AA">
        <w:rPr>
          <w:rFonts w:cs="Times New Roman"/>
          <w:lang w:val="en-US"/>
        </w:rPr>
        <w:t>doi</w:t>
      </w:r>
      <w:proofErr w:type="spellEnd"/>
      <w:r w:rsidRPr="000677AA">
        <w:rPr>
          <w:rFonts w:cs="Times New Roman"/>
          <w:lang w:val="en-US"/>
        </w:rPr>
        <w:t xml:space="preserve">: 10.4161/hv.26269. </w:t>
      </w:r>
      <w:proofErr w:type="spellStart"/>
      <w:r w:rsidRPr="000677AA">
        <w:rPr>
          <w:rFonts w:cs="Times New Roman"/>
          <w:lang w:val="en-US"/>
        </w:rPr>
        <w:t>Epub</w:t>
      </w:r>
      <w:proofErr w:type="spellEnd"/>
      <w:r w:rsidRPr="000677AA">
        <w:rPr>
          <w:rFonts w:cs="Times New Roman"/>
          <w:lang w:val="en-US"/>
        </w:rPr>
        <w:t xml:space="preserve"> 2013 Sep 4. Available </w:t>
      </w:r>
      <w:proofErr w:type="spellStart"/>
      <w:r w:rsidRPr="000677AA">
        <w:rPr>
          <w:rFonts w:cs="Times New Roman"/>
          <w:lang w:val="en-US"/>
        </w:rPr>
        <w:t>from:http</w:t>
      </w:r>
      <w:proofErr w:type="spellEnd"/>
      <w:r w:rsidRPr="000677AA">
        <w:rPr>
          <w:rFonts w:cs="Times New Roman"/>
          <w:lang w:val="en-US"/>
        </w:rPr>
        <w:t>://www.ncbi.nlm.nih.gov/pubmed/24004825# m24004825_8656.</w:t>
      </w:r>
    </w:p>
    <w:p w:rsidR="001F5BD6" w:rsidRPr="000677AA" w:rsidRDefault="001F5BD6" w:rsidP="001F5BD6">
      <w:pPr>
        <w:autoSpaceDE w:val="0"/>
        <w:autoSpaceDN w:val="0"/>
        <w:adjustRightInd w:val="0"/>
        <w:spacing w:after="120"/>
        <w:jc w:val="left"/>
        <w:rPr>
          <w:rFonts w:cs="Times New Roman"/>
          <w:lang w:val="en-US"/>
        </w:rPr>
      </w:pPr>
      <w:r w:rsidRPr="000677AA">
        <w:rPr>
          <w:rFonts w:cs="Times New Roman"/>
          <w:lang w:val="en-US"/>
        </w:rPr>
        <w:t xml:space="preserve">7. Sir Andrew Witty, CEO GlaxoSmithKline, responds through Norman </w:t>
      </w:r>
      <w:proofErr w:type="spellStart"/>
      <w:r w:rsidRPr="000677AA">
        <w:rPr>
          <w:rFonts w:cs="Times New Roman"/>
          <w:lang w:val="en-US"/>
        </w:rPr>
        <w:t>Begg</w:t>
      </w:r>
      <w:proofErr w:type="spellEnd"/>
      <w:r w:rsidRPr="000677AA">
        <w:rPr>
          <w:rFonts w:cs="Times New Roman"/>
          <w:lang w:val="en-US"/>
        </w:rPr>
        <w:t xml:space="preserve">, Chief Medical Officer, GSK vaccines,  to </w:t>
      </w:r>
      <w:proofErr w:type="spellStart"/>
      <w:r w:rsidRPr="000677AA">
        <w:rPr>
          <w:rFonts w:cs="Times New Roman"/>
          <w:lang w:val="en-US"/>
        </w:rPr>
        <w:t>Infanrix</w:t>
      </w:r>
      <w:proofErr w:type="spellEnd"/>
      <w:r w:rsidRPr="000677AA">
        <w:rPr>
          <w:rFonts w:cs="Times New Roman"/>
          <w:lang w:val="en-US"/>
        </w:rPr>
        <w:t xml:space="preserve"> controversy related to PSUR 16 [cited 2017 Aug 1]. Available from: </w:t>
      </w:r>
      <w:hyperlink r:id="rId13" w:history="1">
        <w:r w:rsidRPr="000677AA">
          <w:rPr>
            <w:rStyle w:val="Collegamentoipertestuale"/>
            <w:rFonts w:cs="Times New Roman"/>
            <w:color w:val="auto"/>
            <w:u w:val="none"/>
            <w:lang w:val="en-US"/>
          </w:rPr>
          <w:t>http://ijme.in/wpcontent/uploads/2017/09/infanrix-gsk-cmo-response.pdf</w:t>
        </w:r>
      </w:hyperlink>
    </w:p>
    <w:p w:rsidR="001F5BD6" w:rsidRPr="001F5BD6" w:rsidRDefault="001F5BD6" w:rsidP="001F5BD6">
      <w:pPr>
        <w:autoSpaceDE w:val="0"/>
        <w:autoSpaceDN w:val="0"/>
        <w:adjustRightInd w:val="0"/>
        <w:spacing w:after="120"/>
        <w:jc w:val="left"/>
        <w:rPr>
          <w:rFonts w:cs="Times New Roman"/>
          <w:lang w:val="en-US"/>
        </w:rPr>
      </w:pPr>
      <w:r w:rsidRPr="001F5BD6">
        <w:rPr>
          <w:rFonts w:cs="Times New Roman"/>
          <w:color w:val="000000"/>
          <w:lang w:val="en-US"/>
        </w:rPr>
        <w:t xml:space="preserve">8. De Stefano F, </w:t>
      </w:r>
      <w:proofErr w:type="spellStart"/>
      <w:r w:rsidRPr="001F5BD6">
        <w:rPr>
          <w:rFonts w:cs="Times New Roman"/>
          <w:color w:val="000000"/>
          <w:lang w:val="en-US"/>
        </w:rPr>
        <w:t>Bhasin</w:t>
      </w:r>
      <w:proofErr w:type="spellEnd"/>
      <w:r w:rsidRPr="001F5BD6">
        <w:rPr>
          <w:rFonts w:cs="Times New Roman"/>
          <w:color w:val="000000"/>
          <w:lang w:val="en-US"/>
        </w:rPr>
        <w:t xml:space="preserve"> TK,  Thompson WW,  </w:t>
      </w:r>
      <w:proofErr w:type="spellStart"/>
      <w:r w:rsidRPr="001F5BD6">
        <w:rPr>
          <w:rFonts w:cs="Times New Roman"/>
          <w:color w:val="000000"/>
          <w:lang w:val="en-US"/>
        </w:rPr>
        <w:t>Yeargin</w:t>
      </w:r>
      <w:proofErr w:type="spellEnd"/>
      <w:r w:rsidRPr="001F5BD6">
        <w:rPr>
          <w:rFonts w:cs="Times New Roman"/>
          <w:color w:val="000000"/>
          <w:lang w:val="en-US"/>
        </w:rPr>
        <w:t xml:space="preserve">-Allsopp M,  Boyle C. </w:t>
      </w:r>
      <w:r>
        <w:rPr>
          <w:rFonts w:cs="Times New Roman"/>
          <w:color w:val="000000"/>
          <w:lang w:val="en-US"/>
        </w:rPr>
        <w:t xml:space="preserve"> </w:t>
      </w:r>
      <w:r w:rsidRPr="001F5BD6">
        <w:rPr>
          <w:rFonts w:cs="Times New Roman"/>
          <w:color w:val="000000"/>
          <w:lang w:val="en-US"/>
        </w:rPr>
        <w:t>Age at first measles-mumps-</w:t>
      </w:r>
      <w:r>
        <w:rPr>
          <w:rFonts w:cs="Times New Roman"/>
          <w:color w:val="000000"/>
          <w:lang w:val="en-US"/>
        </w:rPr>
        <w:t>r</w:t>
      </w:r>
      <w:r w:rsidRPr="001F5BD6">
        <w:rPr>
          <w:rFonts w:cs="Times New Roman"/>
          <w:color w:val="000000"/>
          <w:lang w:val="en-US"/>
        </w:rPr>
        <w:t>ubella vaccination in children with autism</w:t>
      </w:r>
      <w:r>
        <w:rPr>
          <w:rFonts w:cs="Times New Roman"/>
          <w:color w:val="000000"/>
          <w:lang w:val="en-US"/>
        </w:rPr>
        <w:t xml:space="preserve"> </w:t>
      </w:r>
      <w:r w:rsidRPr="001F5BD6">
        <w:rPr>
          <w:rFonts w:cs="Times New Roman"/>
          <w:color w:val="000000"/>
          <w:lang w:val="en-US"/>
        </w:rPr>
        <w:t>and school-matched control subjects: a population-based study in</w:t>
      </w:r>
      <w:r>
        <w:rPr>
          <w:rFonts w:cs="Times New Roman"/>
          <w:color w:val="000000"/>
          <w:lang w:val="en-US"/>
        </w:rPr>
        <w:t xml:space="preserve"> </w:t>
      </w:r>
      <w:r w:rsidRPr="001F5BD6">
        <w:rPr>
          <w:rFonts w:cs="Times New Roman"/>
          <w:color w:val="000000"/>
          <w:lang w:val="en-US"/>
        </w:rPr>
        <w:t>metropolitan Atlanta. Pediatrics. 2004 Feb;113(2):259–66.</w:t>
      </w:r>
    </w:p>
    <w:p w:rsidR="001F5BD6" w:rsidRPr="001F5BD6" w:rsidRDefault="001F5BD6" w:rsidP="001F5BD6">
      <w:pPr>
        <w:autoSpaceDE w:val="0"/>
        <w:autoSpaceDN w:val="0"/>
        <w:adjustRightInd w:val="0"/>
        <w:spacing w:after="120"/>
        <w:jc w:val="left"/>
        <w:rPr>
          <w:rFonts w:cs="Times New Roman"/>
          <w:lang w:val="en-US"/>
        </w:rPr>
      </w:pPr>
      <w:r w:rsidRPr="001F5BD6">
        <w:rPr>
          <w:rFonts w:cs="Times New Roman"/>
          <w:color w:val="000000"/>
          <w:lang w:val="en-US"/>
        </w:rPr>
        <w:t>9. Morgan FM. Statement of William W Thompson, PhD, regarding the</w:t>
      </w:r>
      <w:r>
        <w:rPr>
          <w:rFonts w:cs="Times New Roman"/>
          <w:color w:val="000000"/>
          <w:lang w:val="en-US"/>
        </w:rPr>
        <w:t xml:space="preserve"> </w:t>
      </w:r>
      <w:r w:rsidRPr="001F5BD6">
        <w:rPr>
          <w:rFonts w:cs="Times New Roman"/>
          <w:color w:val="000000"/>
          <w:lang w:val="en-US"/>
        </w:rPr>
        <w:t xml:space="preserve">2004 article examining the </w:t>
      </w:r>
      <w:r>
        <w:rPr>
          <w:rFonts w:cs="Times New Roman"/>
          <w:color w:val="000000"/>
          <w:lang w:val="en-US"/>
        </w:rPr>
        <w:t>p</w:t>
      </w:r>
      <w:r w:rsidRPr="001F5BD6">
        <w:rPr>
          <w:rFonts w:cs="Times New Roman"/>
          <w:color w:val="000000"/>
          <w:lang w:val="en-US"/>
        </w:rPr>
        <w:t>ossibility of a relationship between MMR</w:t>
      </w:r>
      <w:r>
        <w:rPr>
          <w:rFonts w:cs="Times New Roman"/>
          <w:color w:val="000000"/>
          <w:lang w:val="en-US"/>
        </w:rPr>
        <w:t xml:space="preserve"> </w:t>
      </w:r>
      <w:r w:rsidRPr="001F5BD6">
        <w:rPr>
          <w:rFonts w:cs="Times New Roman"/>
          <w:color w:val="000000"/>
          <w:lang w:val="en-US"/>
        </w:rPr>
        <w:t>and autism dated August 27, 2015 [cited 2017 Aug 3]. Available from:</w:t>
      </w:r>
      <w:r w:rsidR="000677AA">
        <w:rPr>
          <w:rFonts w:cs="Times New Roman"/>
          <w:color w:val="000000"/>
          <w:lang w:val="en-US"/>
        </w:rPr>
        <w:t xml:space="preserve"> </w:t>
      </w:r>
      <w:r w:rsidRPr="001F5BD6">
        <w:rPr>
          <w:rFonts w:cs="Times New Roman"/>
          <w:color w:val="000000"/>
          <w:lang w:val="en-US"/>
        </w:rPr>
        <w:t>https://leftbrainrightbrain.co.uk/2014/08/28/statement-of-william-wthompson-ph-d-regarding-the-2004-article-examining-the-possibilityof-a-relationship-between-mmr-vaccine-and-autism/</w:t>
      </w:r>
    </w:p>
    <w:p w:rsidR="001F5BD6" w:rsidRPr="001F5BD6" w:rsidRDefault="001F5BD6" w:rsidP="000677AA">
      <w:pPr>
        <w:autoSpaceDE w:val="0"/>
        <w:autoSpaceDN w:val="0"/>
        <w:adjustRightInd w:val="0"/>
        <w:jc w:val="left"/>
        <w:rPr>
          <w:rFonts w:cs="Times New Roman"/>
          <w:color w:val="000000"/>
          <w:lang w:val="en-US"/>
        </w:rPr>
      </w:pPr>
      <w:r w:rsidRPr="001F5BD6">
        <w:rPr>
          <w:rFonts w:cs="Times New Roman"/>
          <w:color w:val="000000"/>
          <w:lang w:val="en-US"/>
        </w:rPr>
        <w:t>10. Center for Disease Control and Prevention. CDC Statement Regarding</w:t>
      </w:r>
      <w:r>
        <w:rPr>
          <w:rFonts w:cs="Times New Roman"/>
          <w:color w:val="000000"/>
          <w:lang w:val="en-US"/>
        </w:rPr>
        <w:t xml:space="preserve">  </w:t>
      </w:r>
      <w:r w:rsidRPr="001F5BD6">
        <w:rPr>
          <w:rFonts w:cs="Times New Roman"/>
          <w:color w:val="000000"/>
          <w:lang w:val="en-US"/>
        </w:rPr>
        <w:t>2004 Pediatrics Article, “Age at first measles-mumps-rubella vaccination</w:t>
      </w:r>
      <w:r>
        <w:rPr>
          <w:rFonts w:cs="Times New Roman"/>
          <w:color w:val="000000"/>
          <w:lang w:val="en-US"/>
        </w:rPr>
        <w:t xml:space="preserve"> </w:t>
      </w:r>
      <w:r w:rsidRPr="001F5BD6">
        <w:rPr>
          <w:rFonts w:cs="Times New Roman"/>
          <w:color w:val="000000"/>
          <w:lang w:val="en-US"/>
        </w:rPr>
        <w:t>in children with autism and school-matched control subjects: a</w:t>
      </w:r>
    </w:p>
    <w:p w:rsidR="001F5BD6" w:rsidRPr="001F5BD6" w:rsidRDefault="001F5BD6" w:rsidP="000677AA">
      <w:pPr>
        <w:autoSpaceDE w:val="0"/>
        <w:autoSpaceDN w:val="0"/>
        <w:adjustRightInd w:val="0"/>
        <w:jc w:val="left"/>
        <w:rPr>
          <w:rFonts w:cs="Times New Roman"/>
          <w:color w:val="000000"/>
          <w:lang w:val="en-US"/>
        </w:rPr>
      </w:pPr>
      <w:r w:rsidRPr="001F5BD6">
        <w:rPr>
          <w:rFonts w:cs="Times New Roman"/>
          <w:color w:val="000000"/>
          <w:lang w:val="en-US"/>
        </w:rPr>
        <w:t>population-based study in metropolitan Atlanta”[cited 2017 Aug 2].</w:t>
      </w:r>
    </w:p>
    <w:p w:rsidR="001F5BD6" w:rsidRPr="001F5BD6" w:rsidRDefault="001F5BD6" w:rsidP="000677AA">
      <w:pPr>
        <w:autoSpaceDE w:val="0"/>
        <w:autoSpaceDN w:val="0"/>
        <w:adjustRightInd w:val="0"/>
        <w:jc w:val="left"/>
        <w:rPr>
          <w:rFonts w:cs="Times New Roman"/>
          <w:lang w:val="en-US"/>
        </w:rPr>
      </w:pPr>
      <w:r w:rsidRPr="001F5BD6">
        <w:rPr>
          <w:rFonts w:cs="Times New Roman"/>
          <w:color w:val="000000"/>
          <w:lang w:val="en-US"/>
        </w:rPr>
        <w:t>Available from:  https://www.cdc.gov/vaccinesafety/concerns/autism/cdc2004pediatrics.html</w:t>
      </w:r>
    </w:p>
    <w:p w:rsidR="001F5BD6" w:rsidRPr="001F5BD6" w:rsidRDefault="001F5BD6" w:rsidP="000677AA">
      <w:pPr>
        <w:autoSpaceDE w:val="0"/>
        <w:autoSpaceDN w:val="0"/>
        <w:adjustRightInd w:val="0"/>
        <w:spacing w:before="120" w:after="120"/>
        <w:jc w:val="left"/>
        <w:rPr>
          <w:rFonts w:cs="Times New Roman"/>
          <w:lang w:val="en-US"/>
        </w:rPr>
      </w:pPr>
      <w:r w:rsidRPr="001F5BD6">
        <w:rPr>
          <w:rFonts w:cs="Times New Roman"/>
          <w:color w:val="000000"/>
          <w:lang w:val="en-US"/>
        </w:rPr>
        <w:t>11. Foot PR. The problem of abortion and the doctrine of the double effect.</w:t>
      </w:r>
      <w:r>
        <w:rPr>
          <w:rFonts w:cs="Times New Roman"/>
          <w:color w:val="000000"/>
          <w:lang w:val="en-US"/>
        </w:rPr>
        <w:t xml:space="preserve">  </w:t>
      </w:r>
      <w:r w:rsidRPr="001F5BD6">
        <w:rPr>
          <w:rFonts w:cs="Times New Roman"/>
          <w:color w:val="000000"/>
          <w:lang w:val="en-US"/>
        </w:rPr>
        <w:t xml:space="preserve">In: </w:t>
      </w:r>
      <w:r w:rsidRPr="001F5BD6">
        <w:rPr>
          <w:rFonts w:cs="Arial"/>
          <w:i/>
          <w:iCs/>
          <w:color w:val="000000"/>
          <w:lang w:val="en-US"/>
        </w:rPr>
        <w:t>Virtues and vices</w:t>
      </w:r>
      <w:r w:rsidRPr="001F5BD6">
        <w:rPr>
          <w:rFonts w:cs="Times New Roman"/>
          <w:color w:val="000000"/>
          <w:lang w:val="en-US"/>
        </w:rPr>
        <w:t>. Oxford: Basil Blackwell; 1978.</w:t>
      </w:r>
    </w:p>
    <w:p w:rsidR="001F5BD6" w:rsidRPr="001F5BD6" w:rsidRDefault="001F5BD6" w:rsidP="001F5BD6">
      <w:pPr>
        <w:autoSpaceDE w:val="0"/>
        <w:autoSpaceDN w:val="0"/>
        <w:adjustRightInd w:val="0"/>
        <w:spacing w:after="120"/>
        <w:jc w:val="left"/>
        <w:rPr>
          <w:rFonts w:cs="Times New Roman"/>
          <w:lang w:val="en-US"/>
        </w:rPr>
      </w:pPr>
      <w:r w:rsidRPr="001F5BD6">
        <w:rPr>
          <w:rFonts w:cs="Times New Roman"/>
          <w:color w:val="000000"/>
          <w:lang w:val="en-US"/>
        </w:rPr>
        <w:t xml:space="preserve">12. Thomson JJ. The trolley problem. </w:t>
      </w:r>
      <w:r w:rsidRPr="001F5BD6">
        <w:rPr>
          <w:rFonts w:cs="Arial"/>
          <w:i/>
          <w:iCs/>
          <w:color w:val="000000"/>
          <w:lang w:val="en-US"/>
        </w:rPr>
        <w:t>The Yale Law Journal</w:t>
      </w:r>
      <w:r w:rsidRPr="001F5BD6">
        <w:rPr>
          <w:rFonts w:cs="Times New Roman"/>
          <w:color w:val="000000"/>
          <w:lang w:val="en-US"/>
        </w:rPr>
        <w:t>. 1985</w:t>
      </w:r>
      <w:r>
        <w:rPr>
          <w:rFonts w:cs="Times New Roman"/>
          <w:color w:val="000000"/>
          <w:lang w:val="en-US"/>
        </w:rPr>
        <w:t xml:space="preserve"> </w:t>
      </w:r>
      <w:r w:rsidRPr="001F5BD6">
        <w:rPr>
          <w:rFonts w:cs="Times New Roman"/>
          <w:color w:val="000000"/>
          <w:lang w:val="en-US"/>
        </w:rPr>
        <w:t>May;94(6):1395–415.</w:t>
      </w:r>
    </w:p>
    <w:p w:rsidR="001F5BD6" w:rsidRPr="001F5BD6" w:rsidRDefault="001F5BD6" w:rsidP="001F5BD6">
      <w:pPr>
        <w:autoSpaceDE w:val="0"/>
        <w:autoSpaceDN w:val="0"/>
        <w:adjustRightInd w:val="0"/>
        <w:spacing w:after="120"/>
        <w:jc w:val="left"/>
        <w:rPr>
          <w:rFonts w:cs="Times New Roman"/>
          <w:lang w:val="en-US"/>
        </w:rPr>
      </w:pPr>
      <w:r w:rsidRPr="001F5BD6">
        <w:rPr>
          <w:rFonts w:cs="Times New Roman"/>
          <w:color w:val="000000"/>
          <w:lang w:val="en-US"/>
        </w:rPr>
        <w:t xml:space="preserve">13. Central Drugs Standard Control </w:t>
      </w:r>
      <w:proofErr w:type="spellStart"/>
      <w:r w:rsidRPr="001F5BD6">
        <w:rPr>
          <w:rFonts w:cs="Times New Roman"/>
          <w:color w:val="000000"/>
          <w:lang w:val="en-US"/>
        </w:rPr>
        <w:t>Organisation</w:t>
      </w:r>
      <w:proofErr w:type="spellEnd"/>
      <w:r w:rsidRPr="001F5BD6">
        <w:rPr>
          <w:rFonts w:cs="Times New Roman"/>
          <w:color w:val="000000"/>
          <w:lang w:val="en-US"/>
        </w:rPr>
        <w:t xml:space="preserve"> Delhi. Guidelines on approval of clinical trial and new drugs. Available at http://www.cdsco. nic.in/</w:t>
      </w:r>
      <w:proofErr w:type="spellStart"/>
      <w:r w:rsidRPr="001F5BD6">
        <w:rPr>
          <w:rFonts w:cs="Times New Roman"/>
          <w:color w:val="000000"/>
          <w:lang w:val="en-US"/>
        </w:rPr>
        <w:t>writereaddata</w:t>
      </w:r>
      <w:proofErr w:type="spellEnd"/>
      <w:r w:rsidRPr="001F5BD6">
        <w:rPr>
          <w:rFonts w:cs="Times New Roman"/>
          <w:color w:val="000000"/>
          <w:lang w:val="en-US"/>
        </w:rPr>
        <w:t>/Guidance_for_New_Drug_Approval-23.07.2011.</w:t>
      </w:r>
      <w:r>
        <w:rPr>
          <w:rFonts w:cs="Times New Roman"/>
          <w:color w:val="000000"/>
          <w:lang w:val="en-US"/>
        </w:rPr>
        <w:t xml:space="preserve"> </w:t>
      </w:r>
      <w:r w:rsidRPr="001F5BD6">
        <w:rPr>
          <w:rFonts w:cs="Times New Roman"/>
          <w:color w:val="000000"/>
          <w:lang w:val="en-US"/>
        </w:rPr>
        <w:t>pdf Accessed on 2 August 2017</w:t>
      </w:r>
    </w:p>
    <w:p w:rsidR="001F5BD6" w:rsidRPr="001F5BD6" w:rsidRDefault="001F5BD6" w:rsidP="001F5BD6">
      <w:pPr>
        <w:autoSpaceDE w:val="0"/>
        <w:autoSpaceDN w:val="0"/>
        <w:adjustRightInd w:val="0"/>
        <w:spacing w:after="120"/>
        <w:jc w:val="left"/>
        <w:rPr>
          <w:rFonts w:cs="Times New Roman"/>
          <w:lang w:val="en-US"/>
        </w:rPr>
      </w:pPr>
      <w:r w:rsidRPr="001F5BD6">
        <w:rPr>
          <w:rFonts w:cs="Times New Roman"/>
          <w:color w:val="000000"/>
          <w:lang w:val="en-US"/>
        </w:rPr>
        <w:t xml:space="preserve">14. Liu JP, Chow SC. Bridging studies in clinical development. </w:t>
      </w:r>
      <w:r w:rsidRPr="001F5BD6">
        <w:rPr>
          <w:rFonts w:cs="Arial"/>
          <w:i/>
          <w:iCs/>
          <w:color w:val="000000"/>
          <w:lang w:val="en-US"/>
        </w:rPr>
        <w:t xml:space="preserve">J </w:t>
      </w:r>
      <w:proofErr w:type="spellStart"/>
      <w:r w:rsidRPr="001F5BD6">
        <w:rPr>
          <w:rFonts w:cs="Arial"/>
          <w:i/>
          <w:iCs/>
          <w:color w:val="000000"/>
          <w:lang w:val="en-US"/>
        </w:rPr>
        <w:t>Biopharm</w:t>
      </w:r>
      <w:proofErr w:type="spellEnd"/>
      <w:r>
        <w:rPr>
          <w:rFonts w:cs="Arial"/>
          <w:i/>
          <w:iCs/>
          <w:color w:val="000000"/>
          <w:lang w:val="en-US"/>
        </w:rPr>
        <w:t xml:space="preserve"> </w:t>
      </w:r>
      <w:r w:rsidRPr="001F5BD6">
        <w:rPr>
          <w:rFonts w:cs="Arial"/>
          <w:i/>
          <w:iCs/>
          <w:color w:val="000000"/>
          <w:lang w:val="en-US"/>
        </w:rPr>
        <w:t>Stat</w:t>
      </w:r>
      <w:r w:rsidRPr="001F5BD6">
        <w:rPr>
          <w:rFonts w:cs="Times New Roman"/>
          <w:color w:val="000000"/>
          <w:lang w:val="en-US"/>
        </w:rPr>
        <w:t>. 2002;12:359-67.</w:t>
      </w:r>
    </w:p>
    <w:p w:rsidR="001F5BD6" w:rsidRPr="001F5BD6" w:rsidRDefault="001F5BD6" w:rsidP="001F5BD6">
      <w:pPr>
        <w:autoSpaceDE w:val="0"/>
        <w:autoSpaceDN w:val="0"/>
        <w:adjustRightInd w:val="0"/>
        <w:spacing w:after="120"/>
        <w:jc w:val="left"/>
        <w:rPr>
          <w:rFonts w:cs="Times New Roman"/>
          <w:lang w:val="en-US"/>
        </w:rPr>
      </w:pPr>
      <w:r w:rsidRPr="001F5BD6">
        <w:rPr>
          <w:rFonts w:cs="Times New Roman"/>
          <w:color w:val="000000"/>
          <w:lang w:val="en-US"/>
        </w:rPr>
        <w:t xml:space="preserve">15. </w:t>
      </w:r>
      <w:proofErr w:type="spellStart"/>
      <w:r w:rsidRPr="001F5BD6">
        <w:rPr>
          <w:rFonts w:cs="Times New Roman"/>
          <w:color w:val="000000"/>
          <w:lang w:val="en-US"/>
        </w:rPr>
        <w:t>Chhatwal</w:t>
      </w:r>
      <w:proofErr w:type="spellEnd"/>
      <w:r w:rsidRPr="001F5BD6">
        <w:rPr>
          <w:rFonts w:cs="Times New Roman"/>
          <w:color w:val="000000"/>
          <w:lang w:val="en-US"/>
        </w:rPr>
        <w:t xml:space="preserve"> J, </w:t>
      </w:r>
      <w:proofErr w:type="spellStart"/>
      <w:r w:rsidRPr="001F5BD6">
        <w:rPr>
          <w:rFonts w:cs="Times New Roman"/>
          <w:color w:val="000000"/>
          <w:lang w:val="en-US"/>
        </w:rPr>
        <w:t>Lalwani</w:t>
      </w:r>
      <w:proofErr w:type="spellEnd"/>
      <w:r w:rsidRPr="001F5BD6">
        <w:rPr>
          <w:rFonts w:cs="Times New Roman"/>
          <w:color w:val="000000"/>
          <w:lang w:val="en-US"/>
        </w:rPr>
        <w:t xml:space="preserve"> S, Vidor E. Immunogenicity and safety of a</w:t>
      </w:r>
      <w:r>
        <w:rPr>
          <w:rFonts w:cs="Times New Roman"/>
          <w:color w:val="000000"/>
          <w:lang w:val="en-US"/>
        </w:rPr>
        <w:t xml:space="preserve"> </w:t>
      </w:r>
      <w:r w:rsidRPr="001F5BD6">
        <w:rPr>
          <w:rFonts w:cs="Times New Roman"/>
          <w:color w:val="000000"/>
          <w:lang w:val="en-US"/>
        </w:rPr>
        <w:t xml:space="preserve">liquid hexavalent vaccine in Indian </w:t>
      </w:r>
      <w:r>
        <w:rPr>
          <w:rFonts w:cs="Times New Roman"/>
          <w:color w:val="000000"/>
          <w:lang w:val="en-US"/>
        </w:rPr>
        <w:t>i</w:t>
      </w:r>
      <w:r w:rsidRPr="001F5BD6">
        <w:rPr>
          <w:rFonts w:cs="Times New Roman"/>
          <w:color w:val="000000"/>
          <w:lang w:val="en-US"/>
        </w:rPr>
        <w:t xml:space="preserve">nfants. </w:t>
      </w:r>
      <w:r w:rsidRPr="001F5BD6">
        <w:rPr>
          <w:rFonts w:cs="Arial"/>
          <w:i/>
          <w:iCs/>
          <w:color w:val="000000"/>
          <w:lang w:val="en-US"/>
        </w:rPr>
        <w:t xml:space="preserve">Indian </w:t>
      </w:r>
      <w:proofErr w:type="spellStart"/>
      <w:r w:rsidRPr="001F5BD6">
        <w:rPr>
          <w:rFonts w:cs="Arial"/>
          <w:i/>
          <w:iCs/>
          <w:color w:val="000000"/>
          <w:lang w:val="en-US"/>
        </w:rPr>
        <w:t>Pediatr</w:t>
      </w:r>
      <w:proofErr w:type="spellEnd"/>
      <w:r w:rsidRPr="001F5BD6">
        <w:rPr>
          <w:rFonts w:cs="Times New Roman"/>
          <w:color w:val="000000"/>
          <w:lang w:val="en-US"/>
        </w:rPr>
        <w:t>. 2017 Jan</w:t>
      </w:r>
      <w:r>
        <w:rPr>
          <w:rFonts w:cs="Times New Roman"/>
          <w:color w:val="000000"/>
          <w:lang w:val="en-US"/>
        </w:rPr>
        <w:t xml:space="preserve"> </w:t>
      </w:r>
      <w:r w:rsidRPr="001F5BD6">
        <w:rPr>
          <w:rFonts w:cs="Times New Roman"/>
          <w:color w:val="000000"/>
          <w:lang w:val="en-US"/>
        </w:rPr>
        <w:t xml:space="preserve">15;54(1):15–20. </w:t>
      </w:r>
      <w:proofErr w:type="spellStart"/>
      <w:r w:rsidRPr="001F5BD6">
        <w:rPr>
          <w:rFonts w:cs="Times New Roman"/>
          <w:color w:val="000000"/>
          <w:lang w:val="en-US"/>
        </w:rPr>
        <w:t>Epub</w:t>
      </w:r>
      <w:proofErr w:type="spellEnd"/>
      <w:r w:rsidRPr="001F5BD6">
        <w:rPr>
          <w:rFonts w:cs="Times New Roman"/>
          <w:color w:val="000000"/>
          <w:lang w:val="en-US"/>
        </w:rPr>
        <w:t xml:space="preserve"> 2016 Nov 5.</w:t>
      </w:r>
    </w:p>
    <w:p w:rsidR="001F5BD6" w:rsidRPr="001F5BD6" w:rsidRDefault="001F5BD6" w:rsidP="001F5BD6">
      <w:pPr>
        <w:autoSpaceDE w:val="0"/>
        <w:autoSpaceDN w:val="0"/>
        <w:adjustRightInd w:val="0"/>
        <w:spacing w:after="120"/>
        <w:jc w:val="left"/>
        <w:rPr>
          <w:rFonts w:cs="Times New Roman"/>
          <w:lang w:val="en-US"/>
        </w:rPr>
      </w:pPr>
      <w:r w:rsidRPr="001F5BD6">
        <w:rPr>
          <w:rFonts w:cs="Times New Roman"/>
          <w:color w:val="000000"/>
          <w:lang w:val="en-US"/>
        </w:rPr>
        <w:lastRenderedPageBreak/>
        <w:t xml:space="preserve">16. </w:t>
      </w:r>
      <w:proofErr w:type="spellStart"/>
      <w:r w:rsidRPr="001F5BD6">
        <w:rPr>
          <w:rFonts w:cs="Times New Roman"/>
          <w:color w:val="000000"/>
          <w:lang w:val="en-US"/>
        </w:rPr>
        <w:t>Lalwani</w:t>
      </w:r>
      <w:proofErr w:type="spellEnd"/>
      <w:r w:rsidRPr="001F5BD6">
        <w:rPr>
          <w:rFonts w:cs="Times New Roman"/>
          <w:color w:val="000000"/>
          <w:lang w:val="en-US"/>
        </w:rPr>
        <w:t xml:space="preserve"> SK, </w:t>
      </w:r>
      <w:proofErr w:type="spellStart"/>
      <w:r w:rsidRPr="001F5BD6">
        <w:rPr>
          <w:rFonts w:cs="Times New Roman"/>
          <w:color w:val="000000"/>
          <w:lang w:val="en-US"/>
        </w:rPr>
        <w:t>Agarkhedkar</w:t>
      </w:r>
      <w:proofErr w:type="spellEnd"/>
      <w:r w:rsidRPr="001F5BD6">
        <w:rPr>
          <w:rFonts w:cs="Times New Roman"/>
          <w:color w:val="000000"/>
          <w:lang w:val="en-US"/>
        </w:rPr>
        <w:t xml:space="preserve"> S, </w:t>
      </w:r>
      <w:proofErr w:type="spellStart"/>
      <w:r w:rsidRPr="001F5BD6">
        <w:rPr>
          <w:rFonts w:cs="Times New Roman"/>
          <w:color w:val="000000"/>
          <w:lang w:val="en-US"/>
        </w:rPr>
        <w:t>Sundaram</w:t>
      </w:r>
      <w:proofErr w:type="spellEnd"/>
      <w:r w:rsidRPr="001F5BD6">
        <w:rPr>
          <w:rFonts w:cs="Times New Roman"/>
          <w:color w:val="000000"/>
          <w:lang w:val="en-US"/>
        </w:rPr>
        <w:t xml:space="preserve"> B, </w:t>
      </w:r>
      <w:proofErr w:type="spellStart"/>
      <w:r w:rsidRPr="001F5BD6">
        <w:rPr>
          <w:rFonts w:cs="Times New Roman"/>
          <w:color w:val="000000"/>
          <w:lang w:val="en-US"/>
        </w:rPr>
        <w:t>Mahantashetti</w:t>
      </w:r>
      <w:proofErr w:type="spellEnd"/>
      <w:r w:rsidRPr="001F5BD6">
        <w:rPr>
          <w:rFonts w:cs="Times New Roman"/>
          <w:color w:val="000000"/>
          <w:lang w:val="en-US"/>
        </w:rPr>
        <w:t xml:space="preserve"> NS, </w:t>
      </w:r>
      <w:proofErr w:type="spellStart"/>
      <w:r w:rsidRPr="001F5BD6">
        <w:rPr>
          <w:rFonts w:cs="Times New Roman"/>
          <w:color w:val="000000"/>
          <w:lang w:val="en-US"/>
        </w:rPr>
        <w:t>Malshe</w:t>
      </w:r>
      <w:proofErr w:type="spellEnd"/>
      <w:r w:rsidRPr="001F5BD6">
        <w:rPr>
          <w:rFonts w:cs="Times New Roman"/>
          <w:color w:val="000000"/>
          <w:lang w:val="en-US"/>
        </w:rPr>
        <w:t xml:space="preserve"> N,</w:t>
      </w:r>
      <w:r>
        <w:rPr>
          <w:rFonts w:cs="Times New Roman"/>
          <w:color w:val="000000"/>
          <w:lang w:val="en-US"/>
        </w:rPr>
        <w:t xml:space="preserve"> </w:t>
      </w:r>
      <w:proofErr w:type="spellStart"/>
      <w:r w:rsidRPr="001F5BD6">
        <w:rPr>
          <w:rFonts w:cs="Times New Roman"/>
          <w:color w:val="000000"/>
          <w:lang w:val="en-US"/>
        </w:rPr>
        <w:t>Agarkhedkar</w:t>
      </w:r>
      <w:proofErr w:type="spellEnd"/>
      <w:r w:rsidRPr="001F5BD6">
        <w:rPr>
          <w:rFonts w:cs="Times New Roman"/>
          <w:color w:val="000000"/>
          <w:lang w:val="en-US"/>
        </w:rPr>
        <w:t xml:space="preserve"> S, Van Der </w:t>
      </w:r>
      <w:proofErr w:type="spellStart"/>
      <w:r w:rsidRPr="001F5BD6">
        <w:rPr>
          <w:rFonts w:cs="Times New Roman"/>
          <w:color w:val="000000"/>
          <w:lang w:val="en-US"/>
        </w:rPr>
        <w:t>Meeren</w:t>
      </w:r>
      <w:proofErr w:type="spellEnd"/>
      <w:r w:rsidRPr="001F5BD6">
        <w:rPr>
          <w:rFonts w:cs="Times New Roman"/>
          <w:color w:val="000000"/>
          <w:lang w:val="en-US"/>
        </w:rPr>
        <w:t xml:space="preserve"> O, Mehta S, </w:t>
      </w:r>
      <w:proofErr w:type="spellStart"/>
      <w:r w:rsidRPr="001F5BD6">
        <w:rPr>
          <w:rFonts w:cs="Times New Roman"/>
          <w:color w:val="000000"/>
          <w:lang w:val="en-US"/>
        </w:rPr>
        <w:t>Karkada</w:t>
      </w:r>
      <w:proofErr w:type="spellEnd"/>
      <w:r w:rsidRPr="001F5BD6">
        <w:rPr>
          <w:rFonts w:cs="Times New Roman"/>
          <w:color w:val="000000"/>
          <w:lang w:val="en-US"/>
        </w:rPr>
        <w:t xml:space="preserve"> N, Han HH, </w:t>
      </w:r>
      <w:proofErr w:type="spellStart"/>
      <w:r w:rsidRPr="001F5BD6">
        <w:rPr>
          <w:rFonts w:cs="Times New Roman"/>
          <w:color w:val="000000"/>
          <w:lang w:val="en-US"/>
        </w:rPr>
        <w:t>Mesaros</w:t>
      </w:r>
      <w:proofErr w:type="spellEnd"/>
      <w:r w:rsidRPr="001F5BD6">
        <w:rPr>
          <w:rFonts w:cs="Times New Roman"/>
          <w:color w:val="000000"/>
          <w:lang w:val="en-US"/>
        </w:rPr>
        <w:t xml:space="preserve"> N.</w:t>
      </w:r>
      <w:r>
        <w:rPr>
          <w:rFonts w:cs="Times New Roman"/>
          <w:color w:val="000000"/>
          <w:lang w:val="en-US"/>
        </w:rPr>
        <w:t xml:space="preserve"> </w:t>
      </w:r>
      <w:r w:rsidRPr="001F5BD6">
        <w:rPr>
          <w:rFonts w:cs="Times New Roman"/>
          <w:color w:val="000000"/>
          <w:lang w:val="en-US"/>
        </w:rPr>
        <w:t>Immunogenicity and safety of 3-dose primary vaccination with combined</w:t>
      </w:r>
      <w:r>
        <w:rPr>
          <w:rFonts w:cs="Times New Roman"/>
          <w:color w:val="000000"/>
          <w:lang w:val="en-US"/>
        </w:rPr>
        <w:t xml:space="preserve"> </w:t>
      </w:r>
      <w:proofErr w:type="spellStart"/>
      <w:r w:rsidRPr="001F5BD6">
        <w:rPr>
          <w:rFonts w:cs="Times New Roman"/>
          <w:color w:val="000000"/>
          <w:lang w:val="en-US"/>
        </w:rPr>
        <w:t>DTPa</w:t>
      </w:r>
      <w:proofErr w:type="spellEnd"/>
      <w:r w:rsidRPr="001F5BD6">
        <w:rPr>
          <w:rFonts w:cs="Times New Roman"/>
          <w:color w:val="000000"/>
          <w:lang w:val="en-US"/>
        </w:rPr>
        <w:t xml:space="preserve">-HBV-IPV/Hib in Indian infants. </w:t>
      </w:r>
      <w:r w:rsidRPr="001F5BD6">
        <w:rPr>
          <w:rFonts w:cs="Arial"/>
          <w:i/>
          <w:iCs/>
          <w:color w:val="000000"/>
          <w:lang w:val="en-US"/>
        </w:rPr>
        <w:t xml:space="preserve">Hum </w:t>
      </w:r>
      <w:proofErr w:type="spellStart"/>
      <w:r w:rsidRPr="001F5BD6">
        <w:rPr>
          <w:rFonts w:cs="Arial"/>
          <w:i/>
          <w:iCs/>
          <w:color w:val="000000"/>
          <w:lang w:val="en-US"/>
        </w:rPr>
        <w:t>Vaccin</w:t>
      </w:r>
      <w:proofErr w:type="spellEnd"/>
      <w:r w:rsidRPr="001F5BD6">
        <w:rPr>
          <w:rFonts w:cs="Arial"/>
          <w:i/>
          <w:iCs/>
          <w:color w:val="000000"/>
          <w:lang w:val="en-US"/>
        </w:rPr>
        <w:t xml:space="preserve"> </w:t>
      </w:r>
      <w:proofErr w:type="spellStart"/>
      <w:r w:rsidRPr="001F5BD6">
        <w:rPr>
          <w:rFonts w:cs="Arial"/>
          <w:i/>
          <w:iCs/>
          <w:color w:val="000000"/>
          <w:lang w:val="en-US"/>
        </w:rPr>
        <w:t>Immunother</w:t>
      </w:r>
      <w:proofErr w:type="spellEnd"/>
      <w:r w:rsidRPr="001F5BD6">
        <w:rPr>
          <w:rFonts w:cs="Arial"/>
          <w:i/>
          <w:iCs/>
          <w:color w:val="000000"/>
          <w:lang w:val="en-US"/>
        </w:rPr>
        <w:t xml:space="preserve">. </w:t>
      </w:r>
      <w:r w:rsidRPr="001F5BD6">
        <w:rPr>
          <w:rFonts w:cs="Times New Roman"/>
          <w:color w:val="000000"/>
          <w:lang w:val="en-US"/>
        </w:rPr>
        <w:t>2017 Jan</w:t>
      </w:r>
      <w:r w:rsidR="000677AA">
        <w:rPr>
          <w:rFonts w:cs="Times New Roman"/>
          <w:color w:val="000000"/>
          <w:lang w:val="en-US"/>
        </w:rPr>
        <w:t xml:space="preserve"> </w:t>
      </w:r>
      <w:r w:rsidRPr="001F5BD6">
        <w:rPr>
          <w:rFonts w:cs="Times New Roman"/>
          <w:color w:val="000000"/>
          <w:lang w:val="en-US"/>
        </w:rPr>
        <w:t xml:space="preserve">2;13(1):120–7. </w:t>
      </w:r>
      <w:proofErr w:type="spellStart"/>
      <w:r w:rsidRPr="001F5BD6">
        <w:rPr>
          <w:rFonts w:cs="Times New Roman"/>
          <w:color w:val="000000"/>
          <w:lang w:val="en-US"/>
        </w:rPr>
        <w:t>doi</w:t>
      </w:r>
      <w:proofErr w:type="spellEnd"/>
      <w:r w:rsidRPr="001F5BD6">
        <w:rPr>
          <w:rFonts w:cs="Times New Roman"/>
          <w:color w:val="000000"/>
          <w:lang w:val="en-US"/>
        </w:rPr>
        <w:t xml:space="preserve">: 10.1080/21645515.2016.1225639. </w:t>
      </w:r>
      <w:proofErr w:type="spellStart"/>
      <w:r w:rsidRPr="001F5BD6">
        <w:rPr>
          <w:rFonts w:cs="Times New Roman"/>
          <w:color w:val="000000"/>
          <w:lang w:val="en-US"/>
        </w:rPr>
        <w:t>Epub</w:t>
      </w:r>
      <w:proofErr w:type="spellEnd"/>
      <w:r w:rsidRPr="001F5BD6">
        <w:rPr>
          <w:rFonts w:cs="Times New Roman"/>
          <w:color w:val="000000"/>
          <w:lang w:val="en-US"/>
        </w:rPr>
        <w:t xml:space="preserve"> 2016 Sep 15.</w:t>
      </w:r>
    </w:p>
    <w:p w:rsidR="00E417AE" w:rsidRPr="00A540BC" w:rsidRDefault="001F5BD6" w:rsidP="00A540BC">
      <w:pPr>
        <w:autoSpaceDE w:val="0"/>
        <w:autoSpaceDN w:val="0"/>
        <w:adjustRightInd w:val="0"/>
        <w:spacing w:after="120"/>
        <w:jc w:val="left"/>
        <w:rPr>
          <w:rFonts w:cs="Times New Roman"/>
          <w:color w:val="000000"/>
          <w:lang w:val="en-US"/>
        </w:rPr>
      </w:pPr>
      <w:r w:rsidRPr="001F5BD6">
        <w:rPr>
          <w:rFonts w:cs="Times New Roman"/>
          <w:color w:val="000000"/>
          <w:lang w:val="en-US"/>
        </w:rPr>
        <w:t xml:space="preserve">17. </w:t>
      </w:r>
      <w:proofErr w:type="spellStart"/>
      <w:r w:rsidRPr="001F5BD6">
        <w:rPr>
          <w:rFonts w:cs="Times New Roman"/>
          <w:color w:val="000000"/>
          <w:lang w:val="en-US"/>
        </w:rPr>
        <w:t>Shashidhar</w:t>
      </w:r>
      <w:proofErr w:type="spellEnd"/>
      <w:r w:rsidRPr="001F5BD6">
        <w:rPr>
          <w:rFonts w:cs="Times New Roman"/>
          <w:color w:val="000000"/>
          <w:lang w:val="en-US"/>
        </w:rPr>
        <w:t xml:space="preserve"> A. Hexavalent vaccinations: the future of routine</w:t>
      </w:r>
      <w:r>
        <w:rPr>
          <w:rFonts w:cs="Times New Roman"/>
          <w:color w:val="000000"/>
          <w:lang w:val="en-US"/>
        </w:rPr>
        <w:t xml:space="preserve"> </w:t>
      </w:r>
      <w:r w:rsidRPr="001F5BD6">
        <w:rPr>
          <w:rFonts w:cs="Times New Roman"/>
          <w:color w:val="000000"/>
          <w:lang w:val="en-US"/>
        </w:rPr>
        <w:t xml:space="preserve">immunization? </w:t>
      </w:r>
      <w:r w:rsidRPr="001F5BD6">
        <w:rPr>
          <w:rFonts w:cs="Arial"/>
          <w:i/>
          <w:iCs/>
          <w:color w:val="000000"/>
          <w:lang w:val="en-US"/>
        </w:rPr>
        <w:t xml:space="preserve">Indian </w:t>
      </w:r>
      <w:proofErr w:type="spellStart"/>
      <w:r w:rsidRPr="001F5BD6">
        <w:rPr>
          <w:rFonts w:cs="Arial"/>
          <w:i/>
          <w:iCs/>
          <w:color w:val="000000"/>
          <w:lang w:val="en-US"/>
        </w:rPr>
        <w:t>Pediatr</w:t>
      </w:r>
      <w:proofErr w:type="spellEnd"/>
      <w:r w:rsidRPr="001F5BD6">
        <w:rPr>
          <w:rFonts w:cs="Arial"/>
          <w:i/>
          <w:iCs/>
          <w:color w:val="000000"/>
          <w:lang w:val="en-US"/>
        </w:rPr>
        <w:t xml:space="preserve">. </w:t>
      </w:r>
      <w:r w:rsidRPr="001F5BD6">
        <w:rPr>
          <w:rFonts w:cs="Times New Roman"/>
          <w:color w:val="000000"/>
          <w:lang w:val="en-US"/>
        </w:rPr>
        <w:t>2017 Jan 15;54(1):11–13.</w:t>
      </w:r>
      <w:bookmarkStart w:id="0" w:name="_GoBack"/>
      <w:bookmarkEnd w:id="0"/>
    </w:p>
    <w:sectPr w:rsidR="00E417AE" w:rsidRPr="00A540BC" w:rsidSect="00C9779F">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EA" w:rsidRDefault="005D27EA" w:rsidP="00DF08E6">
      <w:r>
        <w:separator/>
      </w:r>
    </w:p>
  </w:endnote>
  <w:endnote w:type="continuationSeparator" w:id="0">
    <w:p w:rsidR="005D27EA" w:rsidRDefault="005D27EA" w:rsidP="00DF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Fax">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925"/>
      <w:docPartObj>
        <w:docPartGallery w:val="Page Numbers (Bottom of Page)"/>
        <w:docPartUnique/>
      </w:docPartObj>
    </w:sdtPr>
    <w:sdtEndPr/>
    <w:sdtContent>
      <w:p w:rsidR="00E417AE" w:rsidRDefault="005D27EA">
        <w:pPr>
          <w:pStyle w:val="Pidipagina"/>
          <w:jc w:val="right"/>
        </w:pPr>
        <w:r>
          <w:fldChar w:fldCharType="begin"/>
        </w:r>
        <w:r>
          <w:instrText xml:space="preserve"> PAGE   \* MERGEFORMAT </w:instrText>
        </w:r>
        <w:r>
          <w:fldChar w:fldCharType="separate"/>
        </w:r>
        <w:r w:rsidR="00A540BC">
          <w:rPr>
            <w:noProof/>
          </w:rPr>
          <w:t>1</w:t>
        </w:r>
        <w:r>
          <w:rPr>
            <w:noProof/>
          </w:rPr>
          <w:fldChar w:fldCharType="end"/>
        </w:r>
      </w:p>
    </w:sdtContent>
  </w:sdt>
  <w:p w:rsidR="00E417AE" w:rsidRDefault="00E417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EA" w:rsidRDefault="005D27EA" w:rsidP="00DF08E6">
      <w:r>
        <w:separator/>
      </w:r>
    </w:p>
  </w:footnote>
  <w:footnote w:type="continuationSeparator" w:id="0">
    <w:p w:rsidR="005D27EA" w:rsidRDefault="005D27EA" w:rsidP="00DF08E6">
      <w:r>
        <w:continuationSeparator/>
      </w:r>
    </w:p>
  </w:footnote>
  <w:footnote w:id="1">
    <w:p w:rsidR="00E417AE" w:rsidRPr="00385AE0" w:rsidRDefault="00E417AE">
      <w:pPr>
        <w:pStyle w:val="Testonotaapidipagina"/>
        <w:rPr>
          <w:lang w:val="en-US"/>
        </w:rPr>
      </w:pPr>
      <w:r>
        <w:rPr>
          <w:rStyle w:val="Rimandonotaapidipagina"/>
        </w:rPr>
        <w:footnoteRef/>
      </w:r>
      <w:r w:rsidRPr="00385AE0">
        <w:rPr>
          <w:lang w:val="en-US"/>
        </w:rPr>
        <w:t xml:space="preserve"> PSUR: Periodic Safety Update Report </w:t>
      </w:r>
    </w:p>
    <w:p w:rsidR="00E417AE" w:rsidRPr="00385AE0" w:rsidRDefault="00E417AE">
      <w:pPr>
        <w:pStyle w:val="Testonotaapidipagina"/>
        <w:rPr>
          <w:lang w:val="en-US"/>
        </w:rPr>
      </w:pPr>
      <w:r w:rsidRPr="00385AE0">
        <w:rPr>
          <w:lang w:val="en-US"/>
        </w:rPr>
        <w:t xml:space="preserve">  </w:t>
      </w:r>
      <w:r>
        <w:rPr>
          <w:lang w:val="en-US"/>
        </w:rPr>
        <w:t xml:space="preserve">PSUSA: </w:t>
      </w:r>
      <w:r w:rsidRPr="00B96038">
        <w:rPr>
          <w:lang w:val="en-US"/>
        </w:rPr>
        <w:t>PSUR Single Assessment</w:t>
      </w:r>
    </w:p>
  </w:footnote>
  <w:footnote w:id="2">
    <w:p w:rsidR="00E417AE" w:rsidRPr="00A540BC" w:rsidRDefault="00E417AE">
      <w:pPr>
        <w:pStyle w:val="Testonotaapidipagina"/>
        <w:rPr>
          <w:lang w:val="en-US"/>
        </w:rPr>
      </w:pPr>
    </w:p>
    <w:p w:rsidR="00E417AE" w:rsidRPr="00A540BC" w:rsidRDefault="00E417AE">
      <w:pPr>
        <w:pStyle w:val="Testonotaapidipagina"/>
        <w:rPr>
          <w:lang w:val="en-US"/>
        </w:rPr>
      </w:pPr>
    </w:p>
    <w:p w:rsidR="00E417AE" w:rsidRPr="00A540BC" w:rsidRDefault="00E417AE">
      <w:pPr>
        <w:pStyle w:val="Testonotaapidipagina"/>
        <w:rPr>
          <w:lang w:val="en-US"/>
        </w:rPr>
      </w:pPr>
    </w:p>
    <w:p w:rsidR="00E417AE" w:rsidRPr="00A540BC" w:rsidRDefault="00E417AE">
      <w:pPr>
        <w:pStyle w:val="Testonotaapidipagina"/>
        <w:rPr>
          <w:lang w:val="en-US"/>
        </w:rPr>
      </w:pPr>
    </w:p>
    <w:p w:rsidR="00E417AE" w:rsidRDefault="00E417AE">
      <w:pPr>
        <w:pStyle w:val="Testonotaapidipagina"/>
      </w:pPr>
      <w:r>
        <w:rPr>
          <w:rStyle w:val="Rimandonotaapidipagina"/>
        </w:rPr>
        <w:footnoteRef/>
      </w:r>
      <w:r>
        <w:t xml:space="preserve"> Trolley dilemma</w:t>
      </w:r>
    </w:p>
    <w:p w:rsidR="00E417AE" w:rsidRDefault="00E417AE">
      <w:pPr>
        <w:pStyle w:val="Testonotaapidipagina"/>
      </w:pPr>
    </w:p>
    <w:p w:rsidR="00E417AE" w:rsidRDefault="00E417AE">
      <w:pPr>
        <w:pStyle w:val="Testonotaapidipagina"/>
      </w:pPr>
      <w:r>
        <w:t xml:space="preserve"> </w:t>
      </w:r>
      <w:r>
        <w:rPr>
          <w:noProof/>
          <w:lang w:eastAsia="it-IT"/>
        </w:rPr>
        <w:drawing>
          <wp:inline distT="0" distB="0" distL="0" distR="0">
            <wp:extent cx="2177053" cy="742950"/>
            <wp:effectExtent l="19050" t="0" r="0" b="0"/>
            <wp:docPr id="13" name="Immagine 13" descr="https://upload.wikimedia.org/wikipedia/commons/8/8c/Trolley_pro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8/8c/Trolley_problem.png"/>
                    <pic:cNvPicPr>
                      <a:picLocks noChangeAspect="1" noChangeArrowheads="1"/>
                    </pic:cNvPicPr>
                  </pic:nvPicPr>
                  <pic:blipFill>
                    <a:blip r:embed="rId1"/>
                    <a:srcRect/>
                    <a:stretch>
                      <a:fillRect/>
                    </a:stretch>
                  </pic:blipFill>
                  <pic:spPr bwMode="auto">
                    <a:xfrm>
                      <a:off x="0" y="0"/>
                      <a:ext cx="2191958" cy="748037"/>
                    </a:xfrm>
                    <a:prstGeom prst="rect">
                      <a:avLst/>
                    </a:prstGeom>
                    <a:noFill/>
                    <a:ln w="9525">
                      <a:noFill/>
                      <a:miter lim="800000"/>
                      <a:headEnd/>
                      <a:tailEnd/>
                    </a:ln>
                  </pic:spPr>
                </pic:pic>
              </a:graphicData>
            </a:graphic>
          </wp:inline>
        </w:drawing>
      </w:r>
    </w:p>
  </w:footnote>
  <w:footnote w:id="3">
    <w:p w:rsidR="00E417AE" w:rsidRDefault="00E417AE">
      <w:pPr>
        <w:pStyle w:val="Testonotaapidipagina"/>
      </w:pPr>
      <w:r>
        <w:rPr>
          <w:rStyle w:val="Rimandonotaapidipagina"/>
        </w:rPr>
        <w:footnoteRef/>
      </w:r>
      <w:r>
        <w:t xml:space="preserve"> </w:t>
      </w:r>
      <w:r w:rsidRPr="00445EFE">
        <w:t xml:space="preserve"> SMR: </w:t>
      </w:r>
      <w:proofErr w:type="spellStart"/>
      <w:r w:rsidRPr="00445EFE">
        <w:rPr>
          <w:rFonts w:cs="Times New Roman"/>
          <w:color w:val="000000"/>
        </w:rPr>
        <w:t>standardised</w:t>
      </w:r>
      <w:proofErr w:type="spellEnd"/>
      <w:r w:rsidRPr="00445EFE">
        <w:rPr>
          <w:rFonts w:cs="Times New Roman"/>
          <w:color w:val="000000"/>
        </w:rPr>
        <w:t xml:space="preserve"> </w:t>
      </w:r>
      <w:proofErr w:type="spellStart"/>
      <w:r w:rsidRPr="00445EFE">
        <w:rPr>
          <w:rFonts w:cs="Times New Roman"/>
          <w:color w:val="000000"/>
        </w:rPr>
        <w:t>mortality</w:t>
      </w:r>
      <w:proofErr w:type="spellEnd"/>
      <w:r w:rsidRPr="00445EFE">
        <w:rPr>
          <w:rFonts w:cs="Times New Roman"/>
          <w:color w:val="000000"/>
        </w:rPr>
        <w:t xml:space="preserve"> ratio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47"/>
    <w:rsid w:val="000677AA"/>
    <w:rsid w:val="00084EC0"/>
    <w:rsid w:val="000C65BB"/>
    <w:rsid w:val="000C72AB"/>
    <w:rsid w:val="00112800"/>
    <w:rsid w:val="001506E6"/>
    <w:rsid w:val="001558F1"/>
    <w:rsid w:val="00197DCF"/>
    <w:rsid w:val="001F5BD6"/>
    <w:rsid w:val="001F6CE0"/>
    <w:rsid w:val="0027547A"/>
    <w:rsid w:val="00320795"/>
    <w:rsid w:val="00385AE0"/>
    <w:rsid w:val="00445EFE"/>
    <w:rsid w:val="004560ED"/>
    <w:rsid w:val="005D27EA"/>
    <w:rsid w:val="006A4DB3"/>
    <w:rsid w:val="006D4FEB"/>
    <w:rsid w:val="006F286C"/>
    <w:rsid w:val="006F3C7D"/>
    <w:rsid w:val="006F3E92"/>
    <w:rsid w:val="007519C6"/>
    <w:rsid w:val="00757360"/>
    <w:rsid w:val="007A4984"/>
    <w:rsid w:val="00882F1C"/>
    <w:rsid w:val="00895E81"/>
    <w:rsid w:val="008C039E"/>
    <w:rsid w:val="009B4797"/>
    <w:rsid w:val="00A540BC"/>
    <w:rsid w:val="00AE5129"/>
    <w:rsid w:val="00B023D3"/>
    <w:rsid w:val="00B96038"/>
    <w:rsid w:val="00BB2F40"/>
    <w:rsid w:val="00C626A6"/>
    <w:rsid w:val="00C9779F"/>
    <w:rsid w:val="00CB4943"/>
    <w:rsid w:val="00CD0B47"/>
    <w:rsid w:val="00CE171D"/>
    <w:rsid w:val="00D04BD3"/>
    <w:rsid w:val="00DA2F96"/>
    <w:rsid w:val="00DD6E17"/>
    <w:rsid w:val="00DF08E6"/>
    <w:rsid w:val="00E01CB5"/>
    <w:rsid w:val="00E417AE"/>
    <w:rsid w:val="00EE10B2"/>
    <w:rsid w:val="00F521F2"/>
    <w:rsid w:val="00F81C23"/>
    <w:rsid w:val="00FC1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77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F08E6"/>
    <w:rPr>
      <w:sz w:val="20"/>
      <w:szCs w:val="20"/>
    </w:rPr>
  </w:style>
  <w:style w:type="character" w:customStyle="1" w:styleId="TestonotaapidipaginaCarattere">
    <w:name w:val="Testo nota a piè di pagina Carattere"/>
    <w:basedOn w:val="Carpredefinitoparagrafo"/>
    <w:link w:val="Testonotaapidipagina"/>
    <w:uiPriority w:val="99"/>
    <w:semiHidden/>
    <w:rsid w:val="00DF08E6"/>
    <w:rPr>
      <w:sz w:val="20"/>
      <w:szCs w:val="20"/>
    </w:rPr>
  </w:style>
  <w:style w:type="character" w:styleId="Rimandonotaapidipagina">
    <w:name w:val="footnote reference"/>
    <w:basedOn w:val="Carpredefinitoparagrafo"/>
    <w:uiPriority w:val="99"/>
    <w:semiHidden/>
    <w:unhideWhenUsed/>
    <w:rsid w:val="00DF08E6"/>
    <w:rPr>
      <w:vertAlign w:val="superscript"/>
    </w:rPr>
  </w:style>
  <w:style w:type="paragraph" w:styleId="Testofumetto">
    <w:name w:val="Balloon Text"/>
    <w:basedOn w:val="Normale"/>
    <w:link w:val="TestofumettoCarattere"/>
    <w:uiPriority w:val="99"/>
    <w:semiHidden/>
    <w:unhideWhenUsed/>
    <w:rsid w:val="007519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19C6"/>
    <w:rPr>
      <w:rFonts w:ascii="Tahoma" w:hAnsi="Tahoma" w:cs="Tahoma"/>
      <w:sz w:val="16"/>
      <w:szCs w:val="16"/>
    </w:rPr>
  </w:style>
  <w:style w:type="paragraph" w:styleId="Intestazione">
    <w:name w:val="header"/>
    <w:basedOn w:val="Normale"/>
    <w:link w:val="IntestazioneCarattere"/>
    <w:uiPriority w:val="99"/>
    <w:semiHidden/>
    <w:unhideWhenUsed/>
    <w:rsid w:val="00B9603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96038"/>
  </w:style>
  <w:style w:type="paragraph" w:styleId="Pidipagina">
    <w:name w:val="footer"/>
    <w:basedOn w:val="Normale"/>
    <w:link w:val="PidipaginaCarattere"/>
    <w:uiPriority w:val="99"/>
    <w:unhideWhenUsed/>
    <w:rsid w:val="00B96038"/>
    <w:pPr>
      <w:tabs>
        <w:tab w:val="center" w:pos="4819"/>
        <w:tab w:val="right" w:pos="9638"/>
      </w:tabs>
    </w:pPr>
  </w:style>
  <w:style w:type="character" w:customStyle="1" w:styleId="PidipaginaCarattere">
    <w:name w:val="Piè di pagina Carattere"/>
    <w:basedOn w:val="Carpredefinitoparagrafo"/>
    <w:link w:val="Pidipagina"/>
    <w:uiPriority w:val="99"/>
    <w:rsid w:val="00B96038"/>
  </w:style>
  <w:style w:type="character" w:styleId="Collegamentoipertestuale">
    <w:name w:val="Hyperlink"/>
    <w:basedOn w:val="Carpredefinitoparagrafo"/>
    <w:uiPriority w:val="99"/>
    <w:unhideWhenUsed/>
    <w:rsid w:val="001F5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77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F08E6"/>
    <w:rPr>
      <w:sz w:val="20"/>
      <w:szCs w:val="20"/>
    </w:rPr>
  </w:style>
  <w:style w:type="character" w:customStyle="1" w:styleId="TestonotaapidipaginaCarattere">
    <w:name w:val="Testo nota a piè di pagina Carattere"/>
    <w:basedOn w:val="Carpredefinitoparagrafo"/>
    <w:link w:val="Testonotaapidipagina"/>
    <w:uiPriority w:val="99"/>
    <w:semiHidden/>
    <w:rsid w:val="00DF08E6"/>
    <w:rPr>
      <w:sz w:val="20"/>
      <w:szCs w:val="20"/>
    </w:rPr>
  </w:style>
  <w:style w:type="character" w:styleId="Rimandonotaapidipagina">
    <w:name w:val="footnote reference"/>
    <w:basedOn w:val="Carpredefinitoparagrafo"/>
    <w:uiPriority w:val="99"/>
    <w:semiHidden/>
    <w:unhideWhenUsed/>
    <w:rsid w:val="00DF08E6"/>
    <w:rPr>
      <w:vertAlign w:val="superscript"/>
    </w:rPr>
  </w:style>
  <w:style w:type="paragraph" w:styleId="Testofumetto">
    <w:name w:val="Balloon Text"/>
    <w:basedOn w:val="Normale"/>
    <w:link w:val="TestofumettoCarattere"/>
    <w:uiPriority w:val="99"/>
    <w:semiHidden/>
    <w:unhideWhenUsed/>
    <w:rsid w:val="007519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19C6"/>
    <w:rPr>
      <w:rFonts w:ascii="Tahoma" w:hAnsi="Tahoma" w:cs="Tahoma"/>
      <w:sz w:val="16"/>
      <w:szCs w:val="16"/>
    </w:rPr>
  </w:style>
  <w:style w:type="paragraph" w:styleId="Intestazione">
    <w:name w:val="header"/>
    <w:basedOn w:val="Normale"/>
    <w:link w:val="IntestazioneCarattere"/>
    <w:uiPriority w:val="99"/>
    <w:semiHidden/>
    <w:unhideWhenUsed/>
    <w:rsid w:val="00B9603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96038"/>
  </w:style>
  <w:style w:type="paragraph" w:styleId="Pidipagina">
    <w:name w:val="footer"/>
    <w:basedOn w:val="Normale"/>
    <w:link w:val="PidipaginaCarattere"/>
    <w:uiPriority w:val="99"/>
    <w:unhideWhenUsed/>
    <w:rsid w:val="00B96038"/>
    <w:pPr>
      <w:tabs>
        <w:tab w:val="center" w:pos="4819"/>
        <w:tab w:val="right" w:pos="9638"/>
      </w:tabs>
    </w:pPr>
  </w:style>
  <w:style w:type="character" w:customStyle="1" w:styleId="PidipaginaCarattere">
    <w:name w:val="Piè di pagina Carattere"/>
    <w:basedOn w:val="Carpredefinitoparagrafo"/>
    <w:link w:val="Pidipagina"/>
    <w:uiPriority w:val="99"/>
    <w:rsid w:val="00B96038"/>
  </w:style>
  <w:style w:type="character" w:styleId="Collegamentoipertestuale">
    <w:name w:val="Hyperlink"/>
    <w:basedOn w:val="Carpredefinitoparagrafo"/>
    <w:uiPriority w:val="99"/>
    <w:unhideWhenUsed/>
    <w:rsid w:val="001F5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jme.in/wpcontent/uploads/2017/09/infanrix-gsk-cmo-respons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a.euro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A870-E2D4-4415-8D51-39507813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4022</Words>
  <Characters>22932</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dc:creator>
  <cp:lastModifiedBy>pc</cp:lastModifiedBy>
  <cp:revision>2</cp:revision>
  <dcterms:created xsi:type="dcterms:W3CDTF">2018-09-22T08:04:00Z</dcterms:created>
  <dcterms:modified xsi:type="dcterms:W3CDTF">2018-09-22T08:04:00Z</dcterms:modified>
</cp:coreProperties>
</file>